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427493520"/>
        <w:docPartObj>
          <w:docPartGallery w:val="Cover Pages"/>
          <w:docPartUnique/>
        </w:docPartObj>
      </w:sdtPr>
      <w:sdtContent>
        <w:p w14:paraId="02F4D299" w14:textId="77777777" w:rsidR="0097695C" w:rsidRDefault="00E11D2F">
          <w:r>
            <w:rPr>
              <w:noProof/>
              <w:lang w:eastAsia="es-CO"/>
            </w:rPr>
            <w:drawing>
              <wp:anchor distT="0" distB="0" distL="114300" distR="114300" simplePos="0" relativeHeight="251661312" behindDoc="1" locked="0" layoutInCell="1" allowOverlap="1" wp14:anchorId="618A1B1F" wp14:editId="57B7AE1F">
                <wp:simplePos x="0" y="0"/>
                <wp:positionH relativeFrom="page">
                  <wp:align>left</wp:align>
                </wp:positionH>
                <wp:positionV relativeFrom="paragraph">
                  <wp:posOffset>-866775</wp:posOffset>
                </wp:positionV>
                <wp:extent cx="7753350" cy="10023088"/>
                <wp:effectExtent l="0" t="0" r="0" b="0"/>
                <wp:wrapNone/>
                <wp:docPr id="64" name="Imagen 6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n 64">
                          <a:extLst>
                            <a:ext uri="{C183D7F6-B498-43B3-948B-1728B52AA6E4}">
                              <adec:decorative xmlns:adec="http://schemas.microsoft.com/office/drawing/2017/decorative" val="1"/>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7753350" cy="10023088"/>
                        </a:xfrm>
                        <a:prstGeom prst="rect">
                          <a:avLst/>
                        </a:prstGeom>
                      </pic:spPr>
                    </pic:pic>
                  </a:graphicData>
                </a:graphic>
                <wp14:sizeRelH relativeFrom="page">
                  <wp14:pctWidth>0</wp14:pctWidth>
                </wp14:sizeRelH>
                <wp14:sizeRelV relativeFrom="page">
                  <wp14:pctHeight>0</wp14:pctHeight>
                </wp14:sizeRelV>
              </wp:anchor>
            </w:drawing>
          </w:r>
        </w:p>
        <w:p w14:paraId="053FF3E7" w14:textId="77777777" w:rsidR="0097695C" w:rsidRDefault="00E11D2F">
          <w:r w:rsidRPr="00995797">
            <w:rPr>
              <w:rFonts w:ascii="Roboto" w:hAnsi="Roboto"/>
              <w:noProof/>
              <w:color w:val="263238"/>
              <w:szCs w:val="20"/>
              <w:lang w:eastAsia="es-CO"/>
            </w:rPr>
            <mc:AlternateContent>
              <mc:Choice Requires="wps">
                <w:drawing>
                  <wp:anchor distT="45720" distB="45720" distL="114300" distR="114300" simplePos="0" relativeHeight="251663360" behindDoc="0" locked="0" layoutInCell="1" allowOverlap="1" wp14:anchorId="3EA053B2" wp14:editId="420F00E2">
                    <wp:simplePos x="0" y="0"/>
                    <wp:positionH relativeFrom="page">
                      <wp:posOffset>1819275</wp:posOffset>
                    </wp:positionH>
                    <wp:positionV relativeFrom="paragraph">
                      <wp:posOffset>3385820</wp:posOffset>
                    </wp:positionV>
                    <wp:extent cx="576072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404620"/>
                            </a:xfrm>
                            <a:prstGeom prst="rect">
                              <a:avLst/>
                            </a:prstGeom>
                            <a:noFill/>
                            <a:ln w="9525">
                              <a:noFill/>
                              <a:miter lim="800000"/>
                              <a:headEnd/>
                              <a:tailEnd/>
                            </a:ln>
                          </wps:spPr>
                          <wps:txbx>
                            <w:txbxContent>
                              <w:p w14:paraId="7958228E" w14:textId="77777777" w:rsidR="00E11D2F" w:rsidRDefault="00E11D2F" w:rsidP="00E11D2F">
                                <w:pPr>
                                  <w:spacing w:after="0"/>
                                  <w:jc w:val="right"/>
                                  <w:rPr>
                                    <w:b/>
                                    <w:color w:val="C00000"/>
                                    <w:sz w:val="56"/>
                                    <w:szCs w:val="70"/>
                                  </w:rPr>
                                </w:pPr>
                                <w:r w:rsidRPr="009F1AFA">
                                  <w:rPr>
                                    <w:b/>
                                    <w:color w:val="C00000"/>
                                    <w:sz w:val="56"/>
                                    <w:szCs w:val="70"/>
                                  </w:rPr>
                                  <w:t xml:space="preserve">ESTRATEGIA DE </w:t>
                                </w:r>
                              </w:p>
                              <w:p w14:paraId="45328B76" w14:textId="77777777" w:rsidR="00E11D2F" w:rsidRDefault="00E11D2F" w:rsidP="00E11D2F">
                                <w:pPr>
                                  <w:spacing w:after="0"/>
                                  <w:jc w:val="right"/>
                                  <w:rPr>
                                    <w:b/>
                                    <w:color w:val="C00000"/>
                                    <w:sz w:val="70"/>
                                    <w:szCs w:val="70"/>
                                  </w:rPr>
                                </w:pPr>
                                <w:r w:rsidRPr="009F1AFA">
                                  <w:rPr>
                                    <w:b/>
                                    <w:color w:val="C00000"/>
                                    <w:sz w:val="70"/>
                                    <w:szCs w:val="70"/>
                                  </w:rPr>
                                  <w:t>RENDICIÓN DE CUENTAS</w:t>
                                </w:r>
                              </w:p>
                              <w:p w14:paraId="3F1CFAAB" w14:textId="18175520" w:rsidR="00E11D2F" w:rsidRPr="009D2FEE" w:rsidRDefault="00E11D2F" w:rsidP="00E11D2F">
                                <w:pPr>
                                  <w:spacing w:after="0"/>
                                  <w:jc w:val="right"/>
                                  <w:rPr>
                                    <w:rFonts w:cs="Arial"/>
                                    <w:b/>
                                    <w:color w:val="C00000"/>
                                    <w:sz w:val="70"/>
                                    <w:szCs w:val="70"/>
                                  </w:rPr>
                                </w:pPr>
                                <w:r>
                                  <w:rPr>
                                    <w:b/>
                                    <w:color w:val="C00000"/>
                                    <w:sz w:val="70"/>
                                    <w:szCs w:val="70"/>
                                  </w:rPr>
                                  <w:t>202</w:t>
                                </w:r>
                                <w:r w:rsidR="00CA7822">
                                  <w:rPr>
                                    <w:b/>
                                    <w:color w:val="C00000"/>
                                    <w:sz w:val="70"/>
                                    <w:szCs w:val="70"/>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A053B2" id="_x0000_t202" coordsize="21600,21600" o:spt="202" path="m,l,21600r21600,l21600,xe">
                    <v:stroke joinstyle="miter"/>
                    <v:path gradientshapeok="t" o:connecttype="rect"/>
                  </v:shapetype>
                  <v:shape id="Cuadro de texto 2" o:spid="_x0000_s1026" type="#_x0000_t202" style="position:absolute;margin-left:143.25pt;margin-top:266.6pt;width:453.6pt;height:110.6pt;z-index:25166336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TOs9wEAAM4DAAAOAAAAZHJzL2Uyb0RvYy54bWysU1Fv0zAQfkfiP1h+p0mrttuiptPYKEIa&#10;A2nwA1zHaSxsnzm7Tcqv5+x0XQVviDxYdu783X3ffV7dDtawg8KgwdV8Oik5U05Co92u5t+/bd5d&#10;cxaicI0w4FTNjyrw2/XbN6veV2oGHZhGISMQF6re17yL0VdFEWSnrAgT8MpRsAW0ItIRd0WDoid0&#10;a4pZWS6LHrDxCFKFQH8fxiBfZ/y2VTJ+adugIjM1p95iXjGv27QW65Wodih8p+WpDfEPXVihHRU9&#10;Qz2IKNge9V9QVkuEAG2cSLAFtK2WKnMgNtPyDzbPnfAqcyFxgj/LFP4frHw6PPuvyOLwHgYaYCYR&#10;/CPIH4E5uO+E26k7ROg7JRoqPE2SFb0P1elqkjpUIYFs+8/Q0JDFPkIGGlq0SRXiyQidBnA8i66G&#10;yCT9XFwty6sZhSTFpvNyvqRDqiGql+seQ/yowLK0qTnSVDO8ODyGOKa+pKRqDjbamDxZ41hf85vF&#10;bJEvXESsjmQ8o23Nr8v0jVZILD+4Jl+OQptxT70Yd6KdmI6c47AdKDHR30JzJAEQRoPRg6BNB/iL&#10;s57MVfPwcy9QcWY+ORLxZjqfJzfmw3yR6eNlZHsZEU4SVM0jZ+P2PmYHJ67B35HYG51leO3k1CuZ&#10;Jgt5Mnhy5eU5Z70+w/VvAAAA//8DAFBLAwQUAAYACAAAACEAwgluduEAAAAMAQAADwAAAGRycy9k&#10;b3ducmV2LnhtbEyPwU7DMBBE70j8g7VI3KjTpGlKiFNVqC1HoI16duMliYjXke2m4e9xT3BczdPM&#10;22I96Z6NaF1nSMB8FgFDqo3qqBFQHXdPK2DOS1KyN4QCftDBury/K2SuzJU+cTz4hoUScrkU0Ho/&#10;5Jy7ukUt3cwMSCH7MlZLH07bcGXlNZTrnsdRtORadhQWWjnga4v19+GiBQx+2Gdv9v1js92NUXXa&#10;V3HXbIV4fJg2L8A8Tv4Phpt+UIcyOJ3NhZRjvYB4tUwDKiBNkhjYjZg/Jxmws4AsXSyAlwX//0T5&#10;CwAA//8DAFBLAQItABQABgAIAAAAIQC2gziS/gAAAOEBAAATAAAAAAAAAAAAAAAAAAAAAABbQ29u&#10;dGVudF9UeXBlc10ueG1sUEsBAi0AFAAGAAgAAAAhADj9If/WAAAAlAEAAAsAAAAAAAAAAAAAAAAA&#10;LwEAAF9yZWxzLy5yZWxzUEsBAi0AFAAGAAgAAAAhAKcdM6z3AQAAzgMAAA4AAAAAAAAAAAAAAAAA&#10;LgIAAGRycy9lMm9Eb2MueG1sUEsBAi0AFAAGAAgAAAAhAMIJbnbhAAAADAEAAA8AAAAAAAAAAAAA&#10;AAAAUQQAAGRycy9kb3ducmV2LnhtbFBLBQYAAAAABAAEAPMAAABfBQAAAAA=&#10;" filled="f" stroked="f">
                    <v:textbox style="mso-fit-shape-to-text:t">
                      <w:txbxContent>
                        <w:p w14:paraId="7958228E" w14:textId="77777777" w:rsidR="00E11D2F" w:rsidRDefault="00E11D2F" w:rsidP="00E11D2F">
                          <w:pPr>
                            <w:spacing w:after="0"/>
                            <w:jc w:val="right"/>
                            <w:rPr>
                              <w:b/>
                              <w:color w:val="C00000"/>
                              <w:sz w:val="56"/>
                              <w:szCs w:val="70"/>
                            </w:rPr>
                          </w:pPr>
                          <w:r w:rsidRPr="009F1AFA">
                            <w:rPr>
                              <w:b/>
                              <w:color w:val="C00000"/>
                              <w:sz w:val="56"/>
                              <w:szCs w:val="70"/>
                            </w:rPr>
                            <w:t xml:space="preserve">ESTRATEGIA DE </w:t>
                          </w:r>
                        </w:p>
                        <w:p w14:paraId="45328B76" w14:textId="77777777" w:rsidR="00E11D2F" w:rsidRDefault="00E11D2F" w:rsidP="00E11D2F">
                          <w:pPr>
                            <w:spacing w:after="0"/>
                            <w:jc w:val="right"/>
                            <w:rPr>
                              <w:b/>
                              <w:color w:val="C00000"/>
                              <w:sz w:val="70"/>
                              <w:szCs w:val="70"/>
                            </w:rPr>
                          </w:pPr>
                          <w:r w:rsidRPr="009F1AFA">
                            <w:rPr>
                              <w:b/>
                              <w:color w:val="C00000"/>
                              <w:sz w:val="70"/>
                              <w:szCs w:val="70"/>
                            </w:rPr>
                            <w:t>RENDICIÓN DE CUENTAS</w:t>
                          </w:r>
                        </w:p>
                        <w:p w14:paraId="3F1CFAAB" w14:textId="18175520" w:rsidR="00E11D2F" w:rsidRPr="009D2FEE" w:rsidRDefault="00E11D2F" w:rsidP="00E11D2F">
                          <w:pPr>
                            <w:spacing w:after="0"/>
                            <w:jc w:val="right"/>
                            <w:rPr>
                              <w:rFonts w:cs="Arial"/>
                              <w:b/>
                              <w:color w:val="C00000"/>
                              <w:sz w:val="70"/>
                              <w:szCs w:val="70"/>
                            </w:rPr>
                          </w:pPr>
                          <w:r>
                            <w:rPr>
                              <w:b/>
                              <w:color w:val="C00000"/>
                              <w:sz w:val="70"/>
                              <w:szCs w:val="70"/>
                            </w:rPr>
                            <w:t>202</w:t>
                          </w:r>
                          <w:r w:rsidR="00CA7822">
                            <w:rPr>
                              <w:b/>
                              <w:color w:val="C00000"/>
                              <w:sz w:val="70"/>
                              <w:szCs w:val="70"/>
                            </w:rPr>
                            <w:t>2</w:t>
                          </w:r>
                        </w:p>
                      </w:txbxContent>
                    </v:textbox>
                    <w10:wrap anchorx="page"/>
                  </v:shape>
                </w:pict>
              </mc:Fallback>
            </mc:AlternateContent>
          </w:r>
          <w:r w:rsidR="0097695C">
            <w:br w:type="page"/>
          </w:r>
        </w:p>
      </w:sdtContent>
    </w:sdt>
    <w:p w14:paraId="017CA0DE" w14:textId="77777777" w:rsidR="00A17E0A" w:rsidRDefault="00A17E0A"/>
    <w:p w14:paraId="253414BF" w14:textId="77777777" w:rsidR="0097695C" w:rsidRDefault="0097695C" w:rsidP="0097695C">
      <w:pPr>
        <w:pStyle w:val="Ttulo1"/>
      </w:pPr>
      <w:r>
        <w:t>Introducción</w:t>
      </w:r>
    </w:p>
    <w:p w14:paraId="5A0C9F22" w14:textId="7EB94D1B" w:rsidR="0097695C" w:rsidRDefault="0097695C" w:rsidP="0097695C"/>
    <w:p w14:paraId="38689552" w14:textId="77777777" w:rsidR="00EE522B" w:rsidRPr="00EE522B" w:rsidRDefault="00EE522B" w:rsidP="00EE522B">
      <w:pPr>
        <w:spacing w:line="276" w:lineRule="auto"/>
        <w:jc w:val="both"/>
      </w:pPr>
      <w:r w:rsidRPr="00EE522B">
        <w:t>La estrategia de rendición de cuentas, busca fortalecer la interacción con la ciudadanía y los grupos de interés, promoviendo las buenas prácticas que en este sentido se han implementado en la entidad, reconociendo los temas de interés tanto en lo misional, como en los servicios ciudadanos y el interés en el control social de la gestión pública de la entidad y respondiendo a los retos del modelo de gobierno abierto del plan de desarrollo distrital, “Un nuevo contrato social y ambiental para la Bogotá del siglo XXI”.</w:t>
      </w:r>
    </w:p>
    <w:p w14:paraId="1F353AAA" w14:textId="77777777" w:rsidR="00EE522B" w:rsidRPr="00EE522B" w:rsidRDefault="00EE522B" w:rsidP="00EE522B">
      <w:pPr>
        <w:spacing w:line="276" w:lineRule="auto"/>
        <w:jc w:val="both"/>
      </w:pPr>
      <w:r w:rsidRPr="00EE522B">
        <w:t>Esta estrategia de rendición de cuentas, se formuló siguiendo los lineamientos del Manual único de rendición de cuentas, MURC, de la Función Pública, los requisitos de la directiva 005 de 2020 de la Alcaldía Mayor, para lo que se realizaron mesas de trabajo con el equipo técnico de rendición de cuentas y participación ciudadana de la entidad y se construyeron las actividades de los 4 subcomponentes que la compone: 1. Información adecuada para la rendición de cuentas, se propone realizar ejercicios de divulgación de información, disponibilidad de datos abiertos y cualificación del ejercicio de participación ciudadana y rendición de cuentas; 2. Ejercicios de diálogo con los actores y grupos de interés, encuentros con la ciudadanía, los grupos de interés y los servidores y contratistas de la entidad y la realización de una audiencia pública de rendición de cuentas; 3. Responsabilizarse de la rendición de cuentas, la publicación de respuestas a las preguntas realizadas en los ejercicios de diálogo y generar incentivos a través de una trivia o reto virtual y el 4. Evaluación y retroalimentación a la gestión institucional, se realizará monitoreo y acompañamiento a la ejecución de esta estrategia por la Oficina Asesora de Planeación, como parte de su rol de segunda línea de defensa y seguimiento al cumplimiento a los mecanismos de Participación Ciudadana establecidos por la entidad y de concordancia con el Decreto 371/2010 por la Oficina de Control Interno.</w:t>
      </w:r>
    </w:p>
    <w:p w14:paraId="25D00550" w14:textId="77777777" w:rsidR="00EE522B" w:rsidRDefault="00EE522B" w:rsidP="0097695C"/>
    <w:p w14:paraId="54066A90" w14:textId="77777777" w:rsidR="0097695C" w:rsidRDefault="0097695C" w:rsidP="0097695C"/>
    <w:p w14:paraId="1532FF24" w14:textId="77777777" w:rsidR="0097695C" w:rsidRDefault="0097695C" w:rsidP="0097695C"/>
    <w:p w14:paraId="6072BFF9" w14:textId="77777777" w:rsidR="0097695C" w:rsidRDefault="0097695C" w:rsidP="0097695C"/>
    <w:p w14:paraId="2D3BA0A1" w14:textId="77777777" w:rsidR="0097695C" w:rsidRDefault="0097695C" w:rsidP="0097695C">
      <w:pPr>
        <w:pStyle w:val="Ttulo1"/>
      </w:pPr>
      <w:r>
        <w:lastRenderedPageBreak/>
        <w:t>Diagnóstico</w:t>
      </w:r>
    </w:p>
    <w:p w14:paraId="638E0CEA" w14:textId="77777777" w:rsidR="0097695C" w:rsidRDefault="0097695C" w:rsidP="0097695C"/>
    <w:p w14:paraId="5B925156" w14:textId="61A0B9C8" w:rsidR="00A70CBE" w:rsidRDefault="00A70CBE" w:rsidP="0097695C">
      <w:r w:rsidRPr="00A70CBE">
        <w:t>A continuación, se presenta un diagn</w:t>
      </w:r>
      <w:r>
        <w:t>óstico desarrollado a partir de cómo se ejecutaron las actividades por cada subcomponente de la estrategia de rendición de cuentas de la vigencia 202</w:t>
      </w:r>
      <w:r w:rsidR="00C43F2D">
        <w:t>1</w:t>
      </w:r>
      <w:r>
        <w:t>.</w:t>
      </w:r>
    </w:p>
    <w:p w14:paraId="17473267" w14:textId="77777777" w:rsidR="00A70CBE" w:rsidRDefault="00A70CBE" w:rsidP="00A70CBE">
      <w:pPr>
        <w:pStyle w:val="Ttulo2"/>
      </w:pPr>
      <w:r w:rsidRPr="00A70CBE">
        <w:t>Información adecuada para la rendición de cuentas</w:t>
      </w:r>
      <w:r>
        <w:t xml:space="preserve"> </w:t>
      </w:r>
    </w:p>
    <w:p w14:paraId="21654AF3" w14:textId="77777777" w:rsidR="00A70CBE" w:rsidRDefault="00A70CBE" w:rsidP="00A70CBE">
      <w:pPr>
        <w:pStyle w:val="Sinespaciado"/>
        <w:rPr>
          <w:i/>
          <w:lang w:val="es-CO"/>
        </w:rPr>
      </w:pPr>
      <w:r w:rsidRPr="00A70CBE">
        <w:rPr>
          <w:i/>
          <w:lang w:val="es-CO"/>
        </w:rPr>
        <w:t>Información de calidad y en lenguaje comprensible</w:t>
      </w:r>
    </w:p>
    <w:p w14:paraId="45F9023A" w14:textId="77777777" w:rsidR="00A70CBE" w:rsidRDefault="00A70CBE" w:rsidP="00A70CBE">
      <w:pPr>
        <w:pStyle w:val="Sinespaciado"/>
        <w:rPr>
          <w:i/>
          <w:lang w:val="es-CO"/>
        </w:rPr>
      </w:pPr>
    </w:p>
    <w:p w14:paraId="0875F33B" w14:textId="77777777" w:rsidR="00C43F2D" w:rsidRPr="00C43F2D" w:rsidRDefault="00C43F2D" w:rsidP="00C43F2D">
      <w:pPr>
        <w:pStyle w:val="Sinespaciado"/>
        <w:jc w:val="both"/>
        <w:rPr>
          <w:lang w:val="es-CO"/>
        </w:rPr>
      </w:pPr>
      <w:r w:rsidRPr="00C43F2D">
        <w:rPr>
          <w:lang w:val="es-CO"/>
        </w:rPr>
        <w:t>La entidad realizó divulgación permanente de información en lenguaje claro sobre la gestión de la entidad tanto a la ciudadanía como a los servidores públicos de la entidad.</w:t>
      </w:r>
      <w:r w:rsidRPr="00C43F2D">
        <w:rPr>
          <w:rFonts w:ascii="Arial" w:hAnsi="Arial" w:cs="Arial"/>
          <w:lang w:val="es-CO"/>
        </w:rPr>
        <w:t> </w:t>
      </w:r>
      <w:r w:rsidRPr="00C43F2D">
        <w:rPr>
          <w:lang w:val="es-CO"/>
        </w:rPr>
        <w:t xml:space="preserve"> </w:t>
      </w:r>
    </w:p>
    <w:p w14:paraId="7306CA96" w14:textId="77777777" w:rsidR="00C43F2D" w:rsidRDefault="00C43F2D" w:rsidP="00C43F2D">
      <w:pPr>
        <w:pStyle w:val="Sinespaciado"/>
        <w:jc w:val="both"/>
        <w:rPr>
          <w:lang w:val="es-CO"/>
        </w:rPr>
      </w:pPr>
      <w:r w:rsidRPr="00C43F2D">
        <w:rPr>
          <w:lang w:val="es-CO"/>
        </w:rPr>
        <w:t>Se</w:t>
      </w:r>
      <w:r w:rsidRPr="00C43F2D">
        <w:rPr>
          <w:rFonts w:ascii="Arial" w:hAnsi="Arial" w:cs="Arial"/>
          <w:lang w:val="es-CO"/>
        </w:rPr>
        <w:t> </w:t>
      </w:r>
      <w:r w:rsidRPr="00C43F2D">
        <w:rPr>
          <w:lang w:val="es-CO"/>
        </w:rPr>
        <w:t>realizaron</w:t>
      </w:r>
      <w:r w:rsidRPr="00C43F2D">
        <w:rPr>
          <w:rFonts w:ascii="Arial" w:hAnsi="Arial" w:cs="Arial"/>
          <w:lang w:val="es-CO"/>
        </w:rPr>
        <w:t> </w:t>
      </w:r>
      <w:r w:rsidRPr="00C43F2D">
        <w:rPr>
          <w:lang w:val="es-CO"/>
        </w:rPr>
        <w:t>publicaciones semanales del informativo "Bomberos Hoy", como fuente de informaci</w:t>
      </w:r>
      <w:r w:rsidRPr="00C43F2D">
        <w:rPr>
          <w:rFonts w:ascii="Century Gothic" w:hAnsi="Century Gothic" w:cs="Century Gothic"/>
          <w:lang w:val="es-CO"/>
        </w:rPr>
        <w:t>ó</w:t>
      </w:r>
      <w:r w:rsidRPr="00C43F2D">
        <w:rPr>
          <w:lang w:val="es-CO"/>
        </w:rPr>
        <w:t>n permanente sobre la labor diaria en la prestaci</w:t>
      </w:r>
      <w:r w:rsidRPr="00C43F2D">
        <w:rPr>
          <w:rFonts w:ascii="Century Gothic" w:hAnsi="Century Gothic" w:cs="Century Gothic"/>
          <w:lang w:val="es-CO"/>
        </w:rPr>
        <w:t>ó</w:t>
      </w:r>
      <w:r w:rsidRPr="00C43F2D">
        <w:rPr>
          <w:lang w:val="es-CO"/>
        </w:rPr>
        <w:t>n del servicio, los avances en la gesti</w:t>
      </w:r>
      <w:r w:rsidRPr="00C43F2D">
        <w:rPr>
          <w:rFonts w:ascii="Century Gothic" w:hAnsi="Century Gothic" w:cs="Century Gothic"/>
          <w:lang w:val="es-CO"/>
        </w:rPr>
        <w:t>ó</w:t>
      </w:r>
      <w:r w:rsidRPr="00C43F2D">
        <w:rPr>
          <w:lang w:val="es-CO"/>
        </w:rPr>
        <w:t>n y las actividades de fortalecimiento institucional.</w:t>
      </w:r>
      <w:r w:rsidRPr="00C43F2D">
        <w:rPr>
          <w:rFonts w:ascii="Arial" w:hAnsi="Arial" w:cs="Arial"/>
          <w:lang w:val="es-CO"/>
        </w:rPr>
        <w:t> </w:t>
      </w:r>
      <w:r w:rsidRPr="00C43F2D">
        <w:rPr>
          <w:lang w:val="es-CO"/>
        </w:rPr>
        <w:t xml:space="preserve"> </w:t>
      </w:r>
    </w:p>
    <w:p w14:paraId="3AE5452F" w14:textId="18080E83" w:rsidR="00A70CBE" w:rsidRPr="00A70CBE" w:rsidRDefault="00A70CBE" w:rsidP="00C43F2D">
      <w:pPr>
        <w:pStyle w:val="Sinespaciado"/>
        <w:rPr>
          <w:lang w:val="es-CO"/>
        </w:rPr>
      </w:pPr>
      <w:r w:rsidRPr="00A70CBE">
        <w:rPr>
          <w:lang w:val="es-CO"/>
        </w:rPr>
        <w:t xml:space="preserve">Fortalezas: La Entidad ha garantizado </w:t>
      </w:r>
      <w:r w:rsidR="00C43F2D">
        <w:rPr>
          <w:lang w:val="es-CO"/>
        </w:rPr>
        <w:t>el acceso a</w:t>
      </w:r>
      <w:r w:rsidRPr="00A70CBE">
        <w:rPr>
          <w:lang w:val="es-CO"/>
        </w:rPr>
        <w:t xml:space="preserve"> la información </w:t>
      </w:r>
      <w:r w:rsidR="00C43F2D">
        <w:rPr>
          <w:lang w:val="es-CO"/>
        </w:rPr>
        <w:t>pública y activamente divulga información</w:t>
      </w:r>
      <w:r w:rsidRPr="00A70CBE">
        <w:rPr>
          <w:lang w:val="es-CO"/>
        </w:rPr>
        <w:t xml:space="preserve"> sobre l</w:t>
      </w:r>
      <w:r w:rsidR="00C43F2D">
        <w:rPr>
          <w:lang w:val="es-CO"/>
        </w:rPr>
        <w:t>os avances en l</w:t>
      </w:r>
      <w:r w:rsidRPr="00A70CBE">
        <w:rPr>
          <w:lang w:val="es-CO"/>
        </w:rPr>
        <w:t>a gestión.</w:t>
      </w:r>
    </w:p>
    <w:p w14:paraId="089BEA61" w14:textId="15056543" w:rsidR="00A70CBE" w:rsidRPr="00A70CBE" w:rsidRDefault="00A70CBE" w:rsidP="00A70CBE">
      <w:pPr>
        <w:pStyle w:val="Sinespaciado"/>
        <w:rPr>
          <w:lang w:val="es-CO"/>
        </w:rPr>
      </w:pPr>
      <w:r w:rsidRPr="00A70CBE">
        <w:rPr>
          <w:lang w:val="es-CO"/>
        </w:rPr>
        <w:t xml:space="preserve">La información se presentó en lenguaje </w:t>
      </w:r>
      <w:r w:rsidR="002107FA">
        <w:rPr>
          <w:lang w:val="es-CO"/>
        </w:rPr>
        <w:t>incluyente, accesible y no sexista</w:t>
      </w:r>
      <w:r w:rsidRPr="00A70CBE">
        <w:rPr>
          <w:lang w:val="es-CO"/>
        </w:rPr>
        <w:t>.</w:t>
      </w:r>
    </w:p>
    <w:p w14:paraId="607B430F" w14:textId="77777777" w:rsidR="00A70CBE" w:rsidRPr="00A70CBE" w:rsidRDefault="00A70CBE" w:rsidP="00A70CBE">
      <w:pPr>
        <w:pStyle w:val="Sinespaciado"/>
        <w:rPr>
          <w:lang w:val="es-CO"/>
        </w:rPr>
      </w:pPr>
      <w:r w:rsidRPr="00A70CBE">
        <w:rPr>
          <w:lang w:val="es-CO"/>
        </w:rPr>
        <w:t xml:space="preserve">La entidad utilizó oportunamente los canales virtuales para brindar información </w:t>
      </w:r>
    </w:p>
    <w:p w14:paraId="73C87CA6" w14:textId="77777777" w:rsidR="00A70CBE" w:rsidRPr="00A70CBE" w:rsidRDefault="00A70CBE" w:rsidP="00A70CBE">
      <w:pPr>
        <w:pStyle w:val="Sinespaciado"/>
        <w:rPr>
          <w:lang w:val="es-CO"/>
        </w:rPr>
      </w:pPr>
      <w:r w:rsidRPr="00A70CBE">
        <w:rPr>
          <w:lang w:val="es-CO"/>
        </w:rPr>
        <w:t>Alto interés de los servidores públicos y contratistas en la información ofrecida</w:t>
      </w:r>
    </w:p>
    <w:p w14:paraId="6D62E337" w14:textId="77777777" w:rsidR="00A70CBE" w:rsidRPr="00A70CBE" w:rsidRDefault="00A70CBE" w:rsidP="00A70CBE">
      <w:pPr>
        <w:pStyle w:val="Sinespaciado"/>
        <w:rPr>
          <w:lang w:val="es-CO"/>
        </w:rPr>
      </w:pPr>
      <w:r w:rsidRPr="00A70CBE">
        <w:rPr>
          <w:lang w:val="es-CO"/>
        </w:rPr>
        <w:t xml:space="preserve">Debilidades: </w:t>
      </w:r>
    </w:p>
    <w:p w14:paraId="05B39903" w14:textId="77777777" w:rsidR="00A70CBE" w:rsidRDefault="00A70CBE" w:rsidP="00A70CBE">
      <w:pPr>
        <w:pStyle w:val="Sinespaciado"/>
        <w:rPr>
          <w:lang w:val="es-CO"/>
        </w:rPr>
      </w:pPr>
      <w:r w:rsidRPr="00A70CBE">
        <w:rPr>
          <w:lang w:val="es-CO"/>
        </w:rPr>
        <w:t>Poco interés de la ciudadanía para acceder a la información ofrecida por la entidad en el ejercicio de rendición de cuentas</w:t>
      </w:r>
    </w:p>
    <w:p w14:paraId="5601CE72" w14:textId="77777777" w:rsidR="00107D6F" w:rsidRDefault="00107D6F" w:rsidP="00A70CBE">
      <w:pPr>
        <w:pStyle w:val="Sinespaciado"/>
        <w:rPr>
          <w:lang w:val="es-CO"/>
        </w:rPr>
      </w:pPr>
    </w:p>
    <w:p w14:paraId="1E59DAC3" w14:textId="77777777" w:rsidR="00107D6F" w:rsidRPr="004E1394" w:rsidRDefault="00107D6F" w:rsidP="00107D6F">
      <w:pPr>
        <w:pStyle w:val="Ttulo2"/>
      </w:pPr>
      <w:r w:rsidRPr="00107D6F">
        <w:t xml:space="preserve">Ejercicios de diálogo </w:t>
      </w:r>
      <w:r w:rsidRPr="004E1394">
        <w:t>con los actores y grupos de interés</w:t>
      </w:r>
    </w:p>
    <w:p w14:paraId="782A1B2A" w14:textId="77777777" w:rsidR="00107D6F" w:rsidRPr="00DA78A8" w:rsidRDefault="00107D6F" w:rsidP="00107D6F">
      <w:pPr>
        <w:pStyle w:val="Sinespaciado"/>
        <w:rPr>
          <w:i/>
          <w:lang w:val="es-CO"/>
        </w:rPr>
      </w:pPr>
      <w:r w:rsidRPr="00DA78A8">
        <w:rPr>
          <w:i/>
          <w:lang w:val="es-CO"/>
        </w:rPr>
        <w:t>Diálogo de doble vía con la ciudadanía y sus organizaciones</w:t>
      </w:r>
    </w:p>
    <w:p w14:paraId="02612089" w14:textId="77777777" w:rsidR="00107D6F" w:rsidRDefault="00107D6F" w:rsidP="00107D6F">
      <w:pPr>
        <w:pStyle w:val="Sinespaciado"/>
        <w:rPr>
          <w:lang w:val="es-CO"/>
        </w:rPr>
      </w:pPr>
    </w:p>
    <w:p w14:paraId="2E4E5346" w14:textId="77777777" w:rsidR="002107FA" w:rsidRPr="002107FA" w:rsidRDefault="002107FA" w:rsidP="002107FA">
      <w:pPr>
        <w:pStyle w:val="Sinespaciado"/>
        <w:jc w:val="both"/>
        <w:rPr>
          <w:lang w:val="es-CO"/>
        </w:rPr>
      </w:pPr>
      <w:r w:rsidRPr="002107FA">
        <w:rPr>
          <w:lang w:val="es-CO"/>
        </w:rPr>
        <w:t>La entidad adoptó canales</w:t>
      </w:r>
      <w:r w:rsidRPr="002107FA">
        <w:rPr>
          <w:rFonts w:ascii="Arial" w:hAnsi="Arial" w:cs="Arial"/>
          <w:lang w:val="es-CO"/>
        </w:rPr>
        <w:t> </w:t>
      </w:r>
      <w:r w:rsidRPr="002107FA">
        <w:rPr>
          <w:lang w:val="es-CO"/>
        </w:rPr>
        <w:t>virtuales</w:t>
      </w:r>
      <w:r w:rsidRPr="002107FA">
        <w:rPr>
          <w:rFonts w:ascii="Arial" w:hAnsi="Arial" w:cs="Arial"/>
          <w:lang w:val="es-CO"/>
        </w:rPr>
        <w:t> </w:t>
      </w:r>
      <w:r w:rsidRPr="002107FA">
        <w:rPr>
          <w:lang w:val="es-CO"/>
        </w:rPr>
        <w:t>para realizar di</w:t>
      </w:r>
      <w:r w:rsidRPr="002107FA">
        <w:rPr>
          <w:rFonts w:ascii="Century Gothic" w:hAnsi="Century Gothic" w:cs="Century Gothic"/>
          <w:lang w:val="es-CO"/>
        </w:rPr>
        <w:t>á</w:t>
      </w:r>
      <w:r w:rsidRPr="002107FA">
        <w:rPr>
          <w:lang w:val="es-CO"/>
        </w:rPr>
        <w:t>logos participativos tanto con la ciudadan</w:t>
      </w:r>
      <w:r w:rsidRPr="002107FA">
        <w:rPr>
          <w:rFonts w:ascii="Century Gothic" w:hAnsi="Century Gothic" w:cs="Century Gothic"/>
          <w:lang w:val="es-CO"/>
        </w:rPr>
        <w:t>í</w:t>
      </w:r>
      <w:r w:rsidRPr="002107FA">
        <w:rPr>
          <w:lang w:val="es-CO"/>
        </w:rPr>
        <w:t>a como con los servidores p</w:t>
      </w:r>
      <w:r w:rsidRPr="002107FA">
        <w:rPr>
          <w:rFonts w:ascii="Century Gothic" w:hAnsi="Century Gothic" w:cs="Century Gothic"/>
          <w:lang w:val="es-CO"/>
        </w:rPr>
        <w:t>ú</w:t>
      </w:r>
      <w:r w:rsidRPr="002107FA">
        <w:rPr>
          <w:lang w:val="es-CO"/>
        </w:rPr>
        <w:t>blicos y contratistas de la entidad y realiz</w:t>
      </w:r>
      <w:r w:rsidRPr="002107FA">
        <w:rPr>
          <w:rFonts w:ascii="Century Gothic" w:hAnsi="Century Gothic" w:cs="Century Gothic"/>
          <w:lang w:val="es-CO"/>
        </w:rPr>
        <w:t>ó</w:t>
      </w:r>
      <w:r w:rsidRPr="002107FA">
        <w:rPr>
          <w:lang w:val="es-CO"/>
        </w:rPr>
        <w:t xml:space="preserve"> la convocatoria usando herramientas digitales como redes sociales institucionales,</w:t>
      </w:r>
    </w:p>
    <w:p w14:paraId="53446B59" w14:textId="4ECC8751" w:rsidR="002107FA" w:rsidRDefault="002107FA" w:rsidP="002107FA">
      <w:pPr>
        <w:pStyle w:val="Sinespaciado"/>
        <w:jc w:val="both"/>
        <w:rPr>
          <w:lang w:val="es-CO"/>
        </w:rPr>
      </w:pPr>
      <w:r w:rsidRPr="002107FA">
        <w:rPr>
          <w:lang w:val="es-CO"/>
        </w:rPr>
        <w:t>correo electrónico y página web para los diferentes ejercicios de diálogo y rendición de cuentas.</w:t>
      </w:r>
      <w:r w:rsidRPr="002107FA">
        <w:rPr>
          <w:rFonts w:ascii="Arial" w:hAnsi="Arial" w:cs="Arial"/>
          <w:lang w:val="es-CO"/>
        </w:rPr>
        <w:t> </w:t>
      </w:r>
      <w:r w:rsidRPr="002107FA">
        <w:rPr>
          <w:lang w:val="es-CO"/>
        </w:rPr>
        <w:t xml:space="preserve"> </w:t>
      </w:r>
    </w:p>
    <w:p w14:paraId="553D0DA3" w14:textId="22410F91" w:rsidR="00461A29" w:rsidRDefault="002107FA" w:rsidP="002107FA">
      <w:pPr>
        <w:pStyle w:val="Sinespaciado"/>
        <w:jc w:val="both"/>
        <w:rPr>
          <w:lang w:val="es-CO"/>
        </w:rPr>
      </w:pPr>
      <w:r>
        <w:rPr>
          <w:lang w:val="es-CO"/>
        </w:rPr>
        <w:t>Realizó una audiencia pública de rendición de cuentas del periodo julio 2020 a junio 2021.</w:t>
      </w:r>
    </w:p>
    <w:p w14:paraId="0A68B79D" w14:textId="34FEEFFD" w:rsidR="00461A29" w:rsidRPr="00461A29" w:rsidRDefault="00461A29" w:rsidP="00461A29">
      <w:pPr>
        <w:pStyle w:val="Sinespaciado"/>
        <w:jc w:val="both"/>
        <w:rPr>
          <w:lang w:val="es-CO"/>
        </w:rPr>
      </w:pPr>
      <w:r w:rsidRPr="00461A29">
        <w:rPr>
          <w:lang w:val="es-CO"/>
        </w:rPr>
        <w:t xml:space="preserve">En la vigencia 2021 se contemplaron acciones para promover la cultura de rendición de cuentas y los espacios de interacción con la ciudadanía, entregando información clara y transparente sobre los asuntos de gestión de la entidad y sobre el cumplimiento de la misión, permitiendo a los usuarios conocer sobre la prestación del servicio y garantizando la participación y el control ciudadano. </w:t>
      </w:r>
    </w:p>
    <w:p w14:paraId="71ECFA65" w14:textId="6E58C77E" w:rsidR="00461A29" w:rsidRDefault="00461A29" w:rsidP="00461A29">
      <w:pPr>
        <w:pStyle w:val="Sinespaciado"/>
        <w:jc w:val="both"/>
        <w:rPr>
          <w:lang w:val="es-CO"/>
        </w:rPr>
      </w:pPr>
      <w:r w:rsidRPr="00461A29">
        <w:rPr>
          <w:lang w:val="es-CO"/>
        </w:rPr>
        <w:lastRenderedPageBreak/>
        <w:t>Asimismo, las acciones ejecutadas obedecen a las directrices sobre Gobierno Abierto Bogotá, entregadas en la Directiva 005 de 2020 de la Alcaldía Mayor de Bogotá y que se desarrollan en el marco del Plan de Desarrollo “Un nuevo contrato social y ambiental para la Bogotá del siglo XXI”, propósito de gobierno: "Construir Bogotá-región con gobierno abierto, transparente y ciudadanía consciente". La implementación de este modelo demanda de la entidad realizar un proceso permanente de rendición de cuentas basado en los pilares de transparencia, colaboración, participación y servicio a la ciudadanía.</w:t>
      </w:r>
    </w:p>
    <w:p w14:paraId="79B04419" w14:textId="05BD892E" w:rsidR="00D33B19" w:rsidRPr="00D33B19" w:rsidRDefault="00D33B19" w:rsidP="002107FA">
      <w:pPr>
        <w:pStyle w:val="Sinespaciado"/>
        <w:jc w:val="both"/>
        <w:rPr>
          <w:lang w:val="es-CO"/>
        </w:rPr>
      </w:pPr>
      <w:r w:rsidRPr="00D33B19">
        <w:rPr>
          <w:b/>
          <w:lang w:val="es-CO"/>
        </w:rPr>
        <w:t>Fortalezas:</w:t>
      </w:r>
      <w:r w:rsidRPr="00D33B19">
        <w:rPr>
          <w:lang w:val="es-CO"/>
        </w:rPr>
        <w:t xml:space="preserve"> La entidad ha garantizado a través de espacios mayormente virtuales un ejercicio permanente de rendición de cuentas.</w:t>
      </w:r>
    </w:p>
    <w:p w14:paraId="7A317887" w14:textId="58C4858C" w:rsidR="00D33B19" w:rsidRPr="00D33B19" w:rsidRDefault="00D33B19" w:rsidP="00767585">
      <w:pPr>
        <w:pStyle w:val="Sinespaciado"/>
        <w:jc w:val="both"/>
        <w:rPr>
          <w:lang w:val="es-CO"/>
        </w:rPr>
      </w:pPr>
      <w:r w:rsidRPr="00D33B19">
        <w:rPr>
          <w:lang w:val="es-CO"/>
        </w:rPr>
        <w:t xml:space="preserve">La </w:t>
      </w:r>
      <w:r w:rsidR="00461A29">
        <w:rPr>
          <w:lang w:val="es-CO"/>
        </w:rPr>
        <w:t xml:space="preserve">ciudadanía y los grupos de interés expresaron una alta satisfacción en la audiencia de rendición de cuentas </w:t>
      </w:r>
      <w:r w:rsidR="00461A29" w:rsidRPr="00461A29">
        <w:rPr>
          <w:lang w:val="es-CO"/>
        </w:rPr>
        <w:t>4,5/5.</w:t>
      </w:r>
    </w:p>
    <w:p w14:paraId="56E9C036" w14:textId="476B0538" w:rsidR="00D33B19" w:rsidRDefault="00D33B19" w:rsidP="00767585">
      <w:pPr>
        <w:pStyle w:val="Sinespaciado"/>
        <w:jc w:val="both"/>
        <w:rPr>
          <w:lang w:val="es-CO"/>
        </w:rPr>
      </w:pPr>
      <w:r w:rsidRPr="00D33B19">
        <w:rPr>
          <w:lang w:val="es-CO"/>
        </w:rPr>
        <w:t>Existe una alta participación de los servidores y contratistas de la entidad por participar en los ejercicios de rendición de cuentas virtuales, expresando sus opiniones, propuesta y formulando preguntas.</w:t>
      </w:r>
    </w:p>
    <w:p w14:paraId="6FB415B3" w14:textId="7C21B232" w:rsidR="001B40EF" w:rsidRPr="00D33B19" w:rsidRDefault="001B40EF" w:rsidP="00767585">
      <w:pPr>
        <w:pStyle w:val="Sinespaciado"/>
        <w:jc w:val="both"/>
        <w:rPr>
          <w:lang w:val="es-CO"/>
        </w:rPr>
      </w:pPr>
      <w:r>
        <w:rPr>
          <w:lang w:val="es-CO"/>
        </w:rPr>
        <w:t>Se aumentó la participación de ciudadanos y grupos de interés en los espacios de diálogo ofrecidos por la entidad respecto del año anterior.</w:t>
      </w:r>
    </w:p>
    <w:p w14:paraId="607FCA7B" w14:textId="70FE55ED" w:rsidR="00D33B19" w:rsidRPr="00107D6F" w:rsidRDefault="00D33B19" w:rsidP="00767585">
      <w:pPr>
        <w:pStyle w:val="Sinespaciado"/>
        <w:jc w:val="both"/>
        <w:rPr>
          <w:lang w:val="es-CO"/>
        </w:rPr>
      </w:pPr>
      <w:r w:rsidRPr="00D33B19">
        <w:rPr>
          <w:b/>
          <w:lang w:val="es-CO"/>
        </w:rPr>
        <w:t>Debilidades:</w:t>
      </w:r>
      <w:r w:rsidRPr="00D33B19">
        <w:rPr>
          <w:lang w:val="es-CO"/>
        </w:rPr>
        <w:t xml:space="preserve">  </w:t>
      </w:r>
      <w:r w:rsidR="003A0B48">
        <w:rPr>
          <w:lang w:val="es-CO"/>
        </w:rPr>
        <w:t>se deben generar espacios de rendición de cuentas teniendo en cuenta las fases del ciclo de la gestión y promover la formulación en temas o proyectos específicos.</w:t>
      </w:r>
    </w:p>
    <w:p w14:paraId="2187BBFC" w14:textId="77777777" w:rsidR="0097695C" w:rsidRPr="00A70CBE" w:rsidRDefault="00A70CBE" w:rsidP="0097695C">
      <w:r>
        <w:t xml:space="preserve"> </w:t>
      </w:r>
    </w:p>
    <w:p w14:paraId="6F436A37" w14:textId="77777777" w:rsidR="00D33B19" w:rsidRPr="00D33B19" w:rsidRDefault="00D33B19" w:rsidP="00D33B19">
      <w:pPr>
        <w:pStyle w:val="Ttulo2"/>
      </w:pPr>
      <w:r w:rsidRPr="00D33B19">
        <w:t>Responsabilizarse en la rendición de cuentas </w:t>
      </w:r>
    </w:p>
    <w:p w14:paraId="084EBE9D" w14:textId="77777777" w:rsidR="006414C6" w:rsidRPr="00DA78A8" w:rsidRDefault="00D33B19" w:rsidP="00D33B19">
      <w:pPr>
        <w:pStyle w:val="Sinespaciado"/>
        <w:rPr>
          <w:i/>
          <w:lang w:val="es-CO"/>
        </w:rPr>
      </w:pPr>
      <w:r w:rsidRPr="00DA78A8">
        <w:rPr>
          <w:i/>
          <w:lang w:val="es-CO"/>
        </w:rPr>
        <w:t>Incentivos para motivar la cultura de la rendición y Rendición de cuentas</w:t>
      </w:r>
    </w:p>
    <w:p w14:paraId="4FF33F9C" w14:textId="77777777" w:rsidR="00767585" w:rsidRPr="00DA78A8" w:rsidRDefault="00767585" w:rsidP="00D33B19">
      <w:pPr>
        <w:pStyle w:val="Sinespaciado"/>
        <w:rPr>
          <w:i/>
          <w:lang w:val="es-CO"/>
        </w:rPr>
      </w:pPr>
    </w:p>
    <w:p w14:paraId="3DE57AF6" w14:textId="77777777" w:rsidR="00DA78A8" w:rsidRPr="00DA78A8" w:rsidRDefault="00DA78A8" w:rsidP="00DA78A8">
      <w:pPr>
        <w:spacing w:after="0" w:line="276" w:lineRule="auto"/>
        <w:jc w:val="both"/>
        <w:textAlignment w:val="baseline"/>
      </w:pPr>
      <w:r w:rsidRPr="00DA78A8">
        <w:t>La entidad se ha responsabilizado porque el ejercicio de rendición de cuentas se fortalezca y por lo tanto reconoce la importancia de incentivar y capacitar a los grupos de valor en este ejercicio, por lo que en el mes de junio se realizó una capacitación en “Participación Ciudadana y Rendición de Cuentas” dirigida a los grupos de valor del sector seguridad.  Allí se dio respuesta a las preguntas formuladas por la ciudadanía.  </w:t>
      </w:r>
    </w:p>
    <w:p w14:paraId="27AAFF65" w14:textId="77777777" w:rsidR="00DA78A8" w:rsidRDefault="00DA78A8" w:rsidP="00DA78A8">
      <w:pPr>
        <w:spacing w:after="0" w:line="240" w:lineRule="auto"/>
        <w:jc w:val="center"/>
        <w:textAlignment w:val="baseline"/>
        <w:rPr>
          <w:rFonts w:ascii="Segoe UI" w:eastAsia="Times New Roman" w:hAnsi="Segoe UI" w:cs="Segoe UI"/>
          <w:sz w:val="18"/>
          <w:szCs w:val="18"/>
          <w:lang w:eastAsia="es-CO"/>
        </w:rPr>
        <w:sectPr w:rsidR="00DA78A8" w:rsidSect="00DA78A8">
          <w:pgSz w:w="12240" w:h="15840" w:code="1"/>
          <w:pgMar w:top="2410" w:right="1418" w:bottom="1418" w:left="1418" w:header="284" w:footer="709" w:gutter="0"/>
          <w:cols w:space="708"/>
          <w:titlePg/>
          <w:docGrid w:linePitch="360"/>
        </w:sectPr>
      </w:pPr>
      <w:r w:rsidRPr="006A2646">
        <w:rPr>
          <w:b/>
          <w:noProof/>
          <w:lang w:eastAsia="es-CO"/>
        </w:rPr>
        <w:drawing>
          <wp:inline distT="0" distB="0" distL="0" distR="0" wp14:anchorId="4BEA86B2" wp14:editId="7F3E4A74">
            <wp:extent cx="3324225" cy="1743075"/>
            <wp:effectExtent l="0" t="0" r="9525" b="9525"/>
            <wp:docPr id="2" name="Imagen 2" descr="Imagen de pantalla de la  Capacitación ciudadana y rendición de cuentas, donde se aprecia el chat de interacción entre ciudadanos y expositores" title="Pantallazo evento facebooklive Capacitación ciudadana y rendición de cu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ojas\AppData\Local\Microsoft\Windows\INetCache\Content.MSO\23159EDB.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4225" cy="1743075"/>
                    </a:xfrm>
                    <a:prstGeom prst="rect">
                      <a:avLst/>
                    </a:prstGeom>
                    <a:noFill/>
                    <a:ln>
                      <a:noFill/>
                    </a:ln>
                  </pic:spPr>
                </pic:pic>
              </a:graphicData>
            </a:graphic>
          </wp:inline>
        </w:drawing>
      </w:r>
    </w:p>
    <w:p w14:paraId="66148681" w14:textId="77777777" w:rsidR="00DA78A8" w:rsidRPr="006A2646" w:rsidRDefault="00DA78A8" w:rsidP="00DA78A8">
      <w:pPr>
        <w:spacing w:after="0" w:line="240" w:lineRule="auto"/>
        <w:jc w:val="center"/>
        <w:textAlignment w:val="baseline"/>
        <w:rPr>
          <w:rFonts w:ascii="Segoe UI" w:eastAsia="Times New Roman" w:hAnsi="Segoe UI" w:cs="Segoe UI"/>
          <w:sz w:val="18"/>
          <w:szCs w:val="18"/>
          <w:lang w:eastAsia="es-CO"/>
        </w:rPr>
      </w:pPr>
    </w:p>
    <w:p w14:paraId="3C78E146" w14:textId="77777777" w:rsidR="00DA78A8" w:rsidRPr="00DA78A8" w:rsidRDefault="00DA78A8" w:rsidP="00DA78A8">
      <w:pPr>
        <w:spacing w:after="0" w:line="276" w:lineRule="auto"/>
        <w:jc w:val="both"/>
        <w:textAlignment w:val="baseline"/>
      </w:pPr>
      <w:r w:rsidRPr="00DA78A8">
        <w:t>En Vivo junio 17: Capacitación “Participación Ciudadana y Rendición de Cuentas” </w:t>
      </w:r>
    </w:p>
    <w:p w14:paraId="04670F2D" w14:textId="5850A9E6" w:rsidR="00DA78A8" w:rsidRPr="008138D1" w:rsidRDefault="00DA78A8" w:rsidP="00DA78A8">
      <w:pPr>
        <w:spacing w:after="0" w:line="240" w:lineRule="auto"/>
        <w:jc w:val="both"/>
        <w:textAlignment w:val="baseline"/>
        <w:rPr>
          <w:rFonts w:ascii="Segoe UI" w:eastAsia="Times New Roman" w:hAnsi="Segoe UI" w:cs="Segoe UI"/>
          <w:sz w:val="24"/>
          <w:szCs w:val="24"/>
          <w:lang w:eastAsia="es-CO"/>
        </w:rPr>
      </w:pPr>
      <w:proofErr w:type="gramStart"/>
      <w:r w:rsidRPr="00DA78A8">
        <w:t>Link</w:t>
      </w:r>
      <w:proofErr w:type="gramEnd"/>
      <w:r w:rsidRPr="00DA78A8">
        <w:t>:</w:t>
      </w:r>
      <w:r w:rsidRPr="008138D1">
        <w:rPr>
          <w:rFonts w:ascii="Calibri" w:eastAsia="Times New Roman" w:hAnsi="Calibri" w:cs="Segoe UI"/>
          <w:sz w:val="24"/>
          <w:szCs w:val="24"/>
          <w:lang w:eastAsia="es-CO"/>
        </w:rPr>
        <w:t xml:space="preserve"> </w:t>
      </w:r>
      <w:hyperlink r:id="rId10" w:tgtFrame="_blank" w:history="1">
        <w:r w:rsidRPr="008138D1">
          <w:rPr>
            <w:rFonts w:ascii="Calibri" w:eastAsia="Times New Roman" w:hAnsi="Calibri" w:cs="Segoe UI"/>
            <w:color w:val="0563C1"/>
            <w:sz w:val="24"/>
            <w:szCs w:val="24"/>
            <w:u w:val="single"/>
            <w:lang w:eastAsia="es-CO"/>
          </w:rPr>
          <w:t xml:space="preserve">Video </w:t>
        </w:r>
        <w:r w:rsidR="009F59FA" w:rsidRPr="008138D1">
          <w:rPr>
            <w:rFonts w:ascii="Calibri" w:eastAsia="Times New Roman" w:hAnsi="Calibri" w:cs="Segoe UI"/>
            <w:color w:val="0563C1"/>
            <w:sz w:val="24"/>
            <w:szCs w:val="24"/>
            <w:u w:val="single"/>
            <w:lang w:eastAsia="es-CO"/>
          </w:rPr>
          <w:t>Facebook</w:t>
        </w:r>
        <w:r w:rsidRPr="008138D1">
          <w:rPr>
            <w:rFonts w:ascii="Calibri" w:eastAsia="Times New Roman" w:hAnsi="Calibri" w:cs="Segoe UI"/>
            <w:color w:val="0563C1"/>
            <w:sz w:val="24"/>
            <w:szCs w:val="24"/>
            <w:u w:val="single"/>
            <w:lang w:eastAsia="es-CO"/>
          </w:rPr>
          <w:t xml:space="preserve"> Capacitación “Participación Ciudadana y Rendición de Cuentas” </w:t>
        </w:r>
      </w:hyperlink>
      <w:r w:rsidRPr="008138D1">
        <w:rPr>
          <w:rFonts w:ascii="Calibri" w:eastAsia="Times New Roman" w:hAnsi="Calibri" w:cs="Segoe UI"/>
          <w:sz w:val="24"/>
          <w:szCs w:val="24"/>
          <w:lang w:eastAsia="es-CO"/>
        </w:rPr>
        <w:t> </w:t>
      </w:r>
    </w:p>
    <w:p w14:paraId="00BDF589" w14:textId="77777777" w:rsidR="00DA78A8" w:rsidRPr="00DA78A8" w:rsidRDefault="00DA78A8" w:rsidP="00DA78A8">
      <w:pPr>
        <w:spacing w:after="0" w:line="240" w:lineRule="auto"/>
        <w:jc w:val="both"/>
        <w:textAlignment w:val="baseline"/>
      </w:pPr>
      <w:r w:rsidRPr="00DA78A8">
        <w:t>Alcance:1.232 personas </w:t>
      </w:r>
    </w:p>
    <w:p w14:paraId="1281477D" w14:textId="77777777" w:rsidR="00DA78A8" w:rsidRPr="00DA78A8" w:rsidRDefault="00DA78A8" w:rsidP="00DA78A8">
      <w:pPr>
        <w:spacing w:after="0" w:line="240" w:lineRule="auto"/>
        <w:jc w:val="both"/>
        <w:textAlignment w:val="baseline"/>
      </w:pPr>
      <w:r w:rsidRPr="00DA78A8">
        <w:t>Interacciones:119  </w:t>
      </w:r>
    </w:p>
    <w:p w14:paraId="04A03B2A" w14:textId="77777777" w:rsidR="00DA78A8" w:rsidRPr="00DA78A8" w:rsidRDefault="00DA78A8" w:rsidP="00DA78A8">
      <w:pPr>
        <w:spacing w:after="0" w:line="240" w:lineRule="auto"/>
        <w:jc w:val="both"/>
        <w:textAlignment w:val="baseline"/>
      </w:pPr>
      <w:r w:rsidRPr="00DA78A8">
        <w:t>Reproducciones: 495 </w:t>
      </w:r>
    </w:p>
    <w:p w14:paraId="120A7471" w14:textId="77777777" w:rsidR="00DA78A8" w:rsidRPr="00DA78A8" w:rsidRDefault="00DA78A8" w:rsidP="00DA78A8">
      <w:pPr>
        <w:spacing w:after="0" w:line="240" w:lineRule="auto"/>
        <w:jc w:val="both"/>
        <w:textAlignment w:val="baseline"/>
      </w:pPr>
      <w:r w:rsidRPr="00DA78A8">
        <w:t>Reproducciones propias:455 </w:t>
      </w:r>
    </w:p>
    <w:p w14:paraId="7201B508" w14:textId="77777777" w:rsidR="00DA78A8" w:rsidRDefault="00DA78A8" w:rsidP="00DA78A8">
      <w:pPr>
        <w:spacing w:after="0" w:line="240" w:lineRule="auto"/>
        <w:jc w:val="both"/>
        <w:textAlignment w:val="baseline"/>
      </w:pPr>
      <w:r w:rsidRPr="00DA78A8">
        <w:t>Reproducciones Secretaría de Seguridad:40</w:t>
      </w:r>
    </w:p>
    <w:p w14:paraId="583D1087" w14:textId="77777777" w:rsidR="00DA78A8" w:rsidRDefault="00DA78A8" w:rsidP="00DA78A8">
      <w:pPr>
        <w:spacing w:after="0" w:line="240" w:lineRule="auto"/>
        <w:jc w:val="both"/>
        <w:textAlignment w:val="baseline"/>
      </w:pPr>
    </w:p>
    <w:p w14:paraId="18B913BA" w14:textId="468ADC95" w:rsidR="00767585" w:rsidRPr="00767585" w:rsidRDefault="00767585" w:rsidP="00DA78A8">
      <w:pPr>
        <w:spacing w:after="0" w:line="240" w:lineRule="auto"/>
        <w:jc w:val="both"/>
        <w:textAlignment w:val="baseline"/>
      </w:pPr>
      <w:r w:rsidRPr="00767585">
        <w:rPr>
          <w:b/>
        </w:rPr>
        <w:t>Fortalezas:</w:t>
      </w:r>
      <w:r w:rsidRPr="00767585">
        <w:t xml:space="preserve">  El oportuno despliegue en redes sociales y correo electrónico de la convocatoria para los diferentes espacios de diálogo planeados.</w:t>
      </w:r>
    </w:p>
    <w:p w14:paraId="0F369639" w14:textId="77777777" w:rsidR="00767585" w:rsidRPr="00767585" w:rsidRDefault="00767585" w:rsidP="00DA78A8">
      <w:pPr>
        <w:pStyle w:val="Sinespaciado"/>
        <w:jc w:val="both"/>
        <w:rPr>
          <w:lang w:val="es-CO"/>
        </w:rPr>
      </w:pPr>
      <w:r w:rsidRPr="00767585">
        <w:rPr>
          <w:lang w:val="es-CO"/>
        </w:rPr>
        <w:t>Existe compromiso y conciencia en la alta dirección para aplicar de forma</w:t>
      </w:r>
    </w:p>
    <w:p w14:paraId="3C2DBF68" w14:textId="39AFE110" w:rsidR="00767585" w:rsidRDefault="00767585" w:rsidP="00DA78A8">
      <w:pPr>
        <w:pStyle w:val="Sinespaciado"/>
        <w:jc w:val="both"/>
        <w:rPr>
          <w:lang w:val="es-CO"/>
        </w:rPr>
      </w:pPr>
      <w:r w:rsidRPr="00767585">
        <w:rPr>
          <w:lang w:val="es-CO"/>
        </w:rPr>
        <w:t>permanente los ejercicios de Rendición de Cuentas</w:t>
      </w:r>
    </w:p>
    <w:p w14:paraId="2B59EA5F" w14:textId="1A40E50D" w:rsidR="00DA78A8" w:rsidRDefault="00DA78A8" w:rsidP="00DA78A8">
      <w:pPr>
        <w:pStyle w:val="Sinespaciado"/>
        <w:jc w:val="both"/>
        <w:rPr>
          <w:lang w:val="es-CO"/>
        </w:rPr>
      </w:pPr>
      <w:r>
        <w:rPr>
          <w:lang w:val="es-CO"/>
        </w:rPr>
        <w:t>La sensibilización de los grupos de valor y ciudadanía en</w:t>
      </w:r>
      <w:r w:rsidR="00743E62">
        <w:rPr>
          <w:lang w:val="es-CO"/>
        </w:rPr>
        <w:t xml:space="preserve"> rendición de cuentas y participación ciudadana.</w:t>
      </w:r>
    </w:p>
    <w:p w14:paraId="469FEC67" w14:textId="0D1B73F5" w:rsidR="00743E62" w:rsidRPr="00767585" w:rsidRDefault="00743E62" w:rsidP="00DA78A8">
      <w:pPr>
        <w:pStyle w:val="Sinespaciado"/>
        <w:jc w:val="both"/>
        <w:rPr>
          <w:lang w:val="es-CO"/>
        </w:rPr>
      </w:pPr>
      <w:r>
        <w:rPr>
          <w:lang w:val="es-CO"/>
        </w:rPr>
        <w:t>Articulación con el sector en la sensibilización de los grupos de valor y ciudadanos.</w:t>
      </w:r>
    </w:p>
    <w:p w14:paraId="4214C32F" w14:textId="77777777" w:rsidR="00767585" w:rsidRPr="00767585" w:rsidRDefault="00767585" w:rsidP="00767585">
      <w:pPr>
        <w:pStyle w:val="Sinespaciado"/>
        <w:jc w:val="both"/>
        <w:rPr>
          <w:lang w:val="es-CO"/>
        </w:rPr>
      </w:pPr>
      <w:r w:rsidRPr="00767585">
        <w:rPr>
          <w:b/>
          <w:lang w:val="es-CO"/>
        </w:rPr>
        <w:t>Debilidades:</w:t>
      </w:r>
      <w:r w:rsidRPr="00767585">
        <w:rPr>
          <w:lang w:val="es-CO"/>
        </w:rPr>
        <w:t xml:space="preserve"> No todos los espacios de rendición de cuentas han sido documentados para su posterior informe y evaluación</w:t>
      </w:r>
    </w:p>
    <w:p w14:paraId="1AA5193D" w14:textId="77777777" w:rsidR="006414C6" w:rsidRPr="00A70CBE" w:rsidRDefault="006414C6" w:rsidP="0097695C"/>
    <w:p w14:paraId="4AC606EF" w14:textId="77777777" w:rsidR="006414C6" w:rsidRPr="00A70CBE" w:rsidRDefault="00767585" w:rsidP="00767585">
      <w:pPr>
        <w:pStyle w:val="Ttulo2"/>
      </w:pPr>
      <w:r w:rsidRPr="00767585">
        <w:t>Evaluación y retroalimentación a la gestión institucional</w:t>
      </w:r>
    </w:p>
    <w:p w14:paraId="2A04ED7F" w14:textId="77777777" w:rsidR="0097695C" w:rsidRPr="00A70CBE" w:rsidRDefault="0097695C" w:rsidP="0097695C"/>
    <w:p w14:paraId="1A17DF7B" w14:textId="6612079B" w:rsidR="00767585" w:rsidRPr="004E1394" w:rsidRDefault="00743E62" w:rsidP="0032100F">
      <w:pPr>
        <w:pStyle w:val="Sinespaciado"/>
        <w:rPr>
          <w:lang w:val="es-CO"/>
        </w:rPr>
      </w:pPr>
      <w:r>
        <w:rPr>
          <w:lang w:val="es-CO"/>
        </w:rPr>
        <w:t xml:space="preserve">La Oficina Asesora de Planeación </w:t>
      </w:r>
      <w:r w:rsidR="00767585" w:rsidRPr="004E1394">
        <w:rPr>
          <w:lang w:val="es-CO"/>
        </w:rPr>
        <w:t xml:space="preserve">realizó </w:t>
      </w:r>
      <w:r>
        <w:rPr>
          <w:lang w:val="es-CO"/>
        </w:rPr>
        <w:t>monitoreo al</w:t>
      </w:r>
      <w:r w:rsidR="00767585" w:rsidRPr="004E1394">
        <w:rPr>
          <w:lang w:val="es-CO"/>
        </w:rPr>
        <w:t xml:space="preserve"> avance en la ejecución de las actividades</w:t>
      </w:r>
      <w:r>
        <w:rPr>
          <w:lang w:val="es-CO"/>
        </w:rPr>
        <w:t xml:space="preserve"> y generó orientaciones al equipo técnico de rendición de cuentas y participación ciudadana</w:t>
      </w:r>
      <w:r w:rsidR="003E744C">
        <w:rPr>
          <w:lang w:val="es-CO"/>
        </w:rPr>
        <w:t>.</w:t>
      </w:r>
      <w:r w:rsidR="00767585" w:rsidRPr="004E1394">
        <w:rPr>
          <w:lang w:val="es-CO"/>
        </w:rPr>
        <w:t xml:space="preserve">  </w:t>
      </w:r>
    </w:p>
    <w:p w14:paraId="20E529F5" w14:textId="77777777" w:rsidR="0097695C" w:rsidRPr="004E1394" w:rsidRDefault="00767585" w:rsidP="0032100F">
      <w:pPr>
        <w:pStyle w:val="Sinespaciado"/>
        <w:rPr>
          <w:lang w:val="es-CO"/>
        </w:rPr>
      </w:pPr>
      <w:r w:rsidRPr="004E1394">
        <w:rPr>
          <w:lang w:val="es-CO"/>
        </w:rPr>
        <w:t>La Oficina de Control Interno realizó tres seguimientos cuatrimestrales.</w:t>
      </w:r>
    </w:p>
    <w:p w14:paraId="0913B433" w14:textId="77777777" w:rsidR="0032100F" w:rsidRPr="004E1394" w:rsidRDefault="0032100F" w:rsidP="0032100F">
      <w:pPr>
        <w:pStyle w:val="Sinespaciado"/>
        <w:rPr>
          <w:lang w:val="es-CO"/>
        </w:rPr>
      </w:pPr>
    </w:p>
    <w:p w14:paraId="53F4C152" w14:textId="77777777" w:rsidR="0032100F" w:rsidRDefault="0032100F" w:rsidP="00FA3632">
      <w:pPr>
        <w:pStyle w:val="Ttulo1"/>
      </w:pPr>
      <w:r>
        <w:t>Objetivo General</w:t>
      </w:r>
    </w:p>
    <w:p w14:paraId="4F0F44E5" w14:textId="722E0312" w:rsidR="00735FE9" w:rsidRDefault="003E744C" w:rsidP="003E744C">
      <w:pPr>
        <w:pStyle w:val="Sinespaciado"/>
        <w:jc w:val="both"/>
        <w:rPr>
          <w:lang w:val="es-CO"/>
        </w:rPr>
      </w:pPr>
      <w:r w:rsidRPr="009F59FA">
        <w:rPr>
          <w:lang w:val="es-CO"/>
        </w:rPr>
        <w:t>F</w:t>
      </w:r>
      <w:r w:rsidRPr="009F59FA">
        <w:rPr>
          <w:lang w:val="es-CO"/>
        </w:rPr>
        <w:t>ortalecer</w:t>
      </w:r>
      <w:r w:rsidRPr="00EE522B">
        <w:t xml:space="preserve"> la </w:t>
      </w:r>
      <w:r w:rsidRPr="009F59FA">
        <w:rPr>
          <w:lang w:val="es-CO"/>
        </w:rPr>
        <w:t>interacción</w:t>
      </w:r>
      <w:r w:rsidRPr="00EE522B">
        <w:t xml:space="preserve"> con la ciudadanía y los grupos de interés</w:t>
      </w:r>
      <w:r w:rsidRPr="00735FE9">
        <w:rPr>
          <w:lang w:val="es-CO"/>
        </w:rPr>
        <w:t xml:space="preserve"> </w:t>
      </w:r>
      <w:r>
        <w:rPr>
          <w:lang w:val="es-CO"/>
        </w:rPr>
        <w:t>mediante actividades</w:t>
      </w:r>
      <w:r w:rsidR="00F02DDF" w:rsidRPr="00735FE9">
        <w:rPr>
          <w:lang w:val="es-CO"/>
        </w:rPr>
        <w:t xml:space="preserve"> </w:t>
      </w:r>
      <w:r>
        <w:rPr>
          <w:lang w:val="es-CO"/>
        </w:rPr>
        <w:t>que garanticen la rendición de cuentas permanente y faciliten el control social sobre la gestión de la entidad durante el 2022.</w:t>
      </w:r>
    </w:p>
    <w:p w14:paraId="17D2EE05" w14:textId="77777777" w:rsidR="00735FE9" w:rsidRDefault="00735FE9" w:rsidP="0032100F">
      <w:pPr>
        <w:pStyle w:val="Sinespaciado"/>
        <w:rPr>
          <w:lang w:val="es-CO"/>
        </w:rPr>
      </w:pPr>
    </w:p>
    <w:p w14:paraId="1201EDB7" w14:textId="77777777" w:rsidR="00735FE9" w:rsidRDefault="00735FE9" w:rsidP="00735FE9">
      <w:pPr>
        <w:pStyle w:val="Ttulo1"/>
      </w:pPr>
      <w:r>
        <w:t xml:space="preserve">Objetivos </w:t>
      </w:r>
      <w:r w:rsidR="00E11D2F">
        <w:t>Específicos</w:t>
      </w:r>
    </w:p>
    <w:p w14:paraId="6F094C49" w14:textId="2B3A6E9E" w:rsidR="00735FE9" w:rsidRDefault="003E744C" w:rsidP="00735FE9">
      <w:pPr>
        <w:pStyle w:val="Sinespaciado"/>
        <w:numPr>
          <w:ilvl w:val="0"/>
          <w:numId w:val="21"/>
        </w:numPr>
        <w:rPr>
          <w:lang w:val="es-CO"/>
        </w:rPr>
      </w:pPr>
      <w:r>
        <w:rPr>
          <w:lang w:val="es-CO"/>
        </w:rPr>
        <w:t>Garantizar la entrega de información oportuna, en lenguaje claro y accesible sobre la gestión de la entidad.</w:t>
      </w:r>
    </w:p>
    <w:p w14:paraId="52C07F4F" w14:textId="2CA03DA1" w:rsidR="003137F8" w:rsidRDefault="00A55775" w:rsidP="00735FE9">
      <w:pPr>
        <w:pStyle w:val="Sinespaciado"/>
        <w:numPr>
          <w:ilvl w:val="0"/>
          <w:numId w:val="21"/>
        </w:numPr>
        <w:rPr>
          <w:lang w:val="es-CO"/>
        </w:rPr>
      </w:pPr>
      <w:r>
        <w:rPr>
          <w:lang w:val="es-CO"/>
        </w:rPr>
        <w:t>Genera</w:t>
      </w:r>
      <w:r w:rsidR="003137F8">
        <w:rPr>
          <w:lang w:val="es-CO"/>
        </w:rPr>
        <w:t>r espacios de diálogo e interacción entre la ciudadanía y la entidad</w:t>
      </w:r>
      <w:r>
        <w:rPr>
          <w:lang w:val="es-CO"/>
        </w:rPr>
        <w:t xml:space="preserve"> que cumplan los lineamientos de gobierno abierto.</w:t>
      </w:r>
    </w:p>
    <w:p w14:paraId="3DE0DE07" w14:textId="77777777" w:rsidR="003137F8" w:rsidRDefault="003137F8" w:rsidP="00735FE9">
      <w:pPr>
        <w:pStyle w:val="Sinespaciado"/>
        <w:numPr>
          <w:ilvl w:val="0"/>
          <w:numId w:val="21"/>
        </w:numPr>
        <w:rPr>
          <w:lang w:val="es-CO"/>
        </w:rPr>
      </w:pPr>
      <w:r>
        <w:rPr>
          <w:lang w:val="es-CO"/>
        </w:rPr>
        <w:t>Generar incentivos para que la ciudadanía y los grupos de interés participen activamente de los espacios ya actividades convocadas por la entidad.</w:t>
      </w:r>
    </w:p>
    <w:p w14:paraId="76B294B2" w14:textId="77777777" w:rsidR="00F459F0" w:rsidRDefault="00F459F0" w:rsidP="004E1394">
      <w:pPr>
        <w:pStyle w:val="Sinespaciado"/>
      </w:pPr>
    </w:p>
    <w:p w14:paraId="3BFF6EEB" w14:textId="77777777" w:rsidR="00F459F0" w:rsidRDefault="00F459F0" w:rsidP="004E1394">
      <w:pPr>
        <w:pStyle w:val="Sinespaciado"/>
      </w:pPr>
    </w:p>
    <w:p w14:paraId="514F09C2" w14:textId="77777777" w:rsidR="004E1394" w:rsidRDefault="003D285E" w:rsidP="00F459F0">
      <w:pPr>
        <w:pStyle w:val="Ttulo1"/>
      </w:pPr>
      <w:r>
        <w:lastRenderedPageBreak/>
        <w:t>Componentes</w:t>
      </w:r>
      <w:r w:rsidR="00F459F0">
        <w:t xml:space="preserve"> estrategia de rendición de cuentas</w:t>
      </w:r>
    </w:p>
    <w:p w14:paraId="60362FE4" w14:textId="09F307D8" w:rsidR="003D285E" w:rsidRDefault="003D285E" w:rsidP="003D285E"/>
    <w:p w14:paraId="4B80A629" w14:textId="313BD0EC" w:rsidR="00F52402" w:rsidRDefault="00F52402" w:rsidP="00F52402">
      <w:pPr>
        <w:jc w:val="both"/>
      </w:pPr>
      <w:r>
        <w:t xml:space="preserve">A </w:t>
      </w:r>
      <w:r w:rsidR="0093266A">
        <w:t>continuación,</w:t>
      </w:r>
      <w:r>
        <w:t xml:space="preserve"> se presenta el plan a desarrollarse dentro de la estrategia de rendición de cuentas para 2022.  Este plan </w:t>
      </w:r>
      <w:r w:rsidR="0093266A">
        <w:t>está</w:t>
      </w:r>
      <w:r>
        <w:t xml:space="preserve"> organizado por los 4 subcomponentes </w:t>
      </w:r>
      <w:r w:rsidR="0093266A">
        <w:t>de acuerdo con el</w:t>
      </w:r>
      <w:r>
        <w:t xml:space="preserve"> Manual Único de Rendición de Cuentas, MURC, de la Función Pública: 1. Información adecuada para la rendición de cuentas, 2. </w:t>
      </w:r>
      <w:r w:rsidRPr="00F52402">
        <w:t>Ejercicios de diálogo con los actores y grupos de interés</w:t>
      </w:r>
      <w:r>
        <w:t xml:space="preserve">, 3. </w:t>
      </w:r>
      <w:r w:rsidRPr="00F52402">
        <w:t>Responsabilizarse en la rendición de cuentas</w:t>
      </w:r>
      <w:r>
        <w:t xml:space="preserve"> y 4. </w:t>
      </w:r>
      <w:r w:rsidRPr="00F52402">
        <w:t>Evaluación y retroalimentación a la gestión institucional</w:t>
      </w:r>
      <w:r>
        <w:t>.</w:t>
      </w:r>
    </w:p>
    <w:p w14:paraId="487D75A4" w14:textId="4CB40CDB" w:rsidR="0093266A" w:rsidRDefault="00F52402" w:rsidP="003D285E">
      <w:pPr>
        <w:jc w:val="both"/>
      </w:pPr>
      <w:r>
        <w:t xml:space="preserve">En cada subcomponente se formulan </w:t>
      </w:r>
      <w:r w:rsidR="0093266A">
        <w:t>l</w:t>
      </w:r>
      <w:r>
        <w:t>as actividades</w:t>
      </w:r>
      <w:r w:rsidR="0093266A">
        <w:t xml:space="preserve"> </w:t>
      </w:r>
      <w:r>
        <w:t>diseñadas por las dependencias activas en el ejercicio de rendición de cuentas</w:t>
      </w:r>
      <w:r w:rsidR="0093266A">
        <w:t xml:space="preserve"> y como resultado de las mesas de trabajo con el equipo técnico de rendición de cuentas y participación ciudadana.</w:t>
      </w:r>
    </w:p>
    <w:p w14:paraId="325E1111" w14:textId="5A9D2443" w:rsidR="0093266A" w:rsidRDefault="0093266A" w:rsidP="003D285E">
      <w:pPr>
        <w:jc w:val="both"/>
      </w:pPr>
      <w:r>
        <w:t xml:space="preserve">En el primer subcomponente, </w:t>
      </w:r>
      <w:r>
        <w:t>Información adecuada para la rendición de cuentas</w:t>
      </w:r>
      <w:r>
        <w:t>, se incluyen acciones que garanticen un flujo constante y activo de información</w:t>
      </w:r>
      <w:r w:rsidR="00DD6F14">
        <w:t>, que le permita a la ciudadanía y grupos de interés estar informados tanto de los resultados operacionales y de respuesta de la entidad, de los programas y servicios como de los avances en la gestión, de tal forma que cuente con los insumos necesarios para presentar sugerencias, observaciones, solicitudes y realizar control social a la gestión de la entidad.</w:t>
      </w:r>
    </w:p>
    <w:p w14:paraId="59850A76" w14:textId="23D94D89" w:rsidR="00964F17" w:rsidRDefault="00964F17" w:rsidP="003D285E">
      <w:pPr>
        <w:jc w:val="both"/>
      </w:pPr>
      <w:r>
        <w:t>En el subcomponente e</w:t>
      </w:r>
      <w:r w:rsidRPr="00F52402">
        <w:t>jercicios de diálogo con los actores y grupos de interés</w:t>
      </w:r>
      <w:r>
        <w:t xml:space="preserve">, se propone realizar además de la audiencia pública participativa de rendición de cuentas donde se informará de la vigencia 2021, espacios de diálogo con a través de canales digitales y respondiendo a los temas de mayor interés identificados con los grupos de interés.  La entidad cuenta con la </w:t>
      </w:r>
      <w:r w:rsidR="007E5CD2">
        <w:t>participación</w:t>
      </w:r>
      <w:r>
        <w:t xml:space="preserve"> de los servidores en el control social de la gestión de la entidad, por lo que se continúa fortaleciendo los diálogos internos.</w:t>
      </w:r>
    </w:p>
    <w:p w14:paraId="235D5F8A" w14:textId="77B847D4" w:rsidR="00964F17" w:rsidRDefault="00964F17" w:rsidP="003D285E">
      <w:pPr>
        <w:jc w:val="both"/>
      </w:pPr>
      <w:r>
        <w:t>En el tercer subcomponente, r</w:t>
      </w:r>
      <w:r w:rsidRPr="00F52402">
        <w:t>esponsabilizarse en la rendición de cuentas</w:t>
      </w:r>
      <w:r w:rsidR="007E5CD2">
        <w:t>, se garantizará la respuesta a las solicitudes, preguntas y sugerencias manifestadas en los espacios de diálogo y su publicación en la página web institucional, así como la realización de 1 trivia que incentive el interés de la ciudadanía en los temas de la e</w:t>
      </w:r>
      <w:r w:rsidR="005E1B82">
        <w:t>ntidad.</w:t>
      </w:r>
    </w:p>
    <w:p w14:paraId="78D05FE6" w14:textId="1B560F18" w:rsidR="005E1B82" w:rsidRDefault="005E1B82" w:rsidP="005E1B82">
      <w:pPr>
        <w:jc w:val="both"/>
      </w:pPr>
      <w:r>
        <w:t xml:space="preserve">Y por último en el subcomponente de </w:t>
      </w:r>
      <w:r w:rsidRPr="00F52402">
        <w:t>Evaluación y retroalimentación a la gestión institucional</w:t>
      </w:r>
      <w:r>
        <w:t xml:space="preserve">, la Oficina Asesora de Planeación en su rol de segunda línea de defensa realizará monitoreo a la estrategia y la Oficina de Control Interno la evaluación en el marco </w:t>
      </w:r>
      <w:r w:rsidRPr="005E1B82">
        <w:t>al cumplimiento a los mecanismos de Participación Ciudadana establecidos por la entidad y de concordancia con el Decreto 371/2010.</w:t>
      </w:r>
    </w:p>
    <w:p w14:paraId="73A88055" w14:textId="6CFBE7B9" w:rsidR="005E1B82" w:rsidRDefault="005E1B82" w:rsidP="003D285E">
      <w:pPr>
        <w:jc w:val="both"/>
      </w:pPr>
    </w:p>
    <w:tbl>
      <w:tblPr>
        <w:tblW w:w="5000" w:type="pct"/>
        <w:tblLook w:val="04A0" w:firstRow="1" w:lastRow="0" w:firstColumn="1" w:lastColumn="0" w:noHBand="0" w:noVBand="1"/>
        <w:tblCaption w:val="Plan de Rendición de Cuentas"/>
        <w:tblDescription w:val="Contiene las actividades formuladas como parte de la rendición de cuentas 2022 de acuerdo a los 4 subcomponentes con la meta, el responsable y las fechas inicio y fin en que se ejecutarán"/>
      </w:tblPr>
      <w:tblGrid>
        <w:gridCol w:w="1692"/>
        <w:gridCol w:w="1613"/>
        <w:gridCol w:w="1595"/>
        <w:gridCol w:w="1566"/>
        <w:gridCol w:w="1181"/>
        <w:gridCol w:w="1181"/>
      </w:tblGrid>
      <w:tr w:rsidR="0093266A" w:rsidRPr="004F34D6" w14:paraId="51D78D1F" w14:textId="77777777" w:rsidTr="009F59FA">
        <w:trPr>
          <w:trHeight w:val="690"/>
          <w:tblHeader/>
        </w:trPr>
        <w:tc>
          <w:tcPr>
            <w:tcW w:w="958" w:type="pct"/>
            <w:tcBorders>
              <w:top w:val="single" w:sz="4" w:space="0" w:color="auto"/>
              <w:left w:val="single" w:sz="4" w:space="0" w:color="auto"/>
              <w:bottom w:val="single" w:sz="4" w:space="0" w:color="auto"/>
              <w:right w:val="single" w:sz="4" w:space="0" w:color="auto"/>
            </w:tcBorders>
            <w:shd w:val="clear" w:color="auto" w:fill="CC0000"/>
            <w:vAlign w:val="center"/>
            <w:hideMark/>
          </w:tcPr>
          <w:p w14:paraId="61D4AA5E" w14:textId="77777777" w:rsidR="0093266A" w:rsidRPr="004F34D6" w:rsidRDefault="0093266A" w:rsidP="002F4678">
            <w:pPr>
              <w:spacing w:after="0" w:line="240" w:lineRule="auto"/>
              <w:jc w:val="center"/>
              <w:rPr>
                <w:rFonts w:eastAsia="Times New Roman" w:cs="Arial"/>
                <w:b/>
                <w:bCs/>
                <w:i/>
                <w:color w:val="FFFFFF"/>
                <w:sz w:val="18"/>
                <w:lang w:val="en-US"/>
              </w:rPr>
            </w:pPr>
            <w:proofErr w:type="spellStart"/>
            <w:r w:rsidRPr="004F34D6">
              <w:rPr>
                <w:rFonts w:eastAsia="Times New Roman" w:cs="Arial"/>
                <w:b/>
                <w:bCs/>
                <w:i/>
                <w:color w:val="FFFFFF"/>
                <w:sz w:val="18"/>
                <w:lang w:val="en-US"/>
              </w:rPr>
              <w:lastRenderedPageBreak/>
              <w:t>Subcomponente</w:t>
            </w:r>
            <w:proofErr w:type="spellEnd"/>
          </w:p>
        </w:tc>
        <w:tc>
          <w:tcPr>
            <w:tcW w:w="914" w:type="pct"/>
            <w:tcBorders>
              <w:top w:val="single" w:sz="4" w:space="0" w:color="auto"/>
              <w:left w:val="nil"/>
              <w:bottom w:val="single" w:sz="4" w:space="0" w:color="auto"/>
              <w:right w:val="single" w:sz="4" w:space="0" w:color="auto"/>
            </w:tcBorders>
            <w:shd w:val="clear" w:color="auto" w:fill="CC0000"/>
            <w:vAlign w:val="center"/>
            <w:hideMark/>
          </w:tcPr>
          <w:p w14:paraId="3698C864" w14:textId="77777777" w:rsidR="0093266A" w:rsidRPr="004F34D6" w:rsidRDefault="0093266A" w:rsidP="002F4678">
            <w:pPr>
              <w:spacing w:after="0" w:line="240" w:lineRule="auto"/>
              <w:jc w:val="center"/>
              <w:rPr>
                <w:rFonts w:eastAsia="Times New Roman" w:cs="Arial"/>
                <w:b/>
                <w:bCs/>
                <w:i/>
                <w:color w:val="FFFFFF"/>
                <w:sz w:val="18"/>
                <w:lang w:val="en-US"/>
              </w:rPr>
            </w:pPr>
            <w:proofErr w:type="spellStart"/>
            <w:r w:rsidRPr="004F34D6">
              <w:rPr>
                <w:rFonts w:eastAsia="Times New Roman" w:cs="Arial"/>
                <w:b/>
                <w:bCs/>
                <w:i/>
                <w:color w:val="FFFFFF"/>
                <w:sz w:val="18"/>
                <w:lang w:val="en-US"/>
              </w:rPr>
              <w:t>Actividades</w:t>
            </w:r>
            <w:proofErr w:type="spellEnd"/>
          </w:p>
        </w:tc>
        <w:tc>
          <w:tcPr>
            <w:tcW w:w="903" w:type="pct"/>
            <w:tcBorders>
              <w:top w:val="single" w:sz="4" w:space="0" w:color="auto"/>
              <w:left w:val="nil"/>
              <w:bottom w:val="single" w:sz="4" w:space="0" w:color="auto"/>
              <w:right w:val="single" w:sz="4" w:space="0" w:color="auto"/>
            </w:tcBorders>
            <w:shd w:val="clear" w:color="auto" w:fill="CC0000"/>
            <w:vAlign w:val="center"/>
            <w:hideMark/>
          </w:tcPr>
          <w:p w14:paraId="1E4C81EA" w14:textId="77777777" w:rsidR="0093266A" w:rsidRPr="004F34D6" w:rsidRDefault="0093266A" w:rsidP="002F4678">
            <w:pPr>
              <w:spacing w:after="0" w:line="240" w:lineRule="auto"/>
              <w:jc w:val="center"/>
              <w:rPr>
                <w:rFonts w:eastAsia="Times New Roman" w:cs="Arial"/>
                <w:b/>
                <w:bCs/>
                <w:i/>
                <w:color w:val="FFFFFF"/>
                <w:sz w:val="18"/>
                <w:lang w:val="en-US"/>
              </w:rPr>
            </w:pPr>
            <w:r w:rsidRPr="004F34D6">
              <w:rPr>
                <w:rFonts w:eastAsia="Times New Roman" w:cs="Arial"/>
                <w:b/>
                <w:bCs/>
                <w:i/>
                <w:color w:val="FFFFFF"/>
                <w:sz w:val="18"/>
                <w:lang w:val="en-US"/>
              </w:rPr>
              <w:t>Meta/</w:t>
            </w:r>
            <w:proofErr w:type="spellStart"/>
            <w:r w:rsidRPr="004F34D6">
              <w:rPr>
                <w:rFonts w:eastAsia="Times New Roman" w:cs="Arial"/>
                <w:b/>
                <w:bCs/>
                <w:i/>
                <w:color w:val="FFFFFF"/>
                <w:sz w:val="18"/>
                <w:lang w:val="en-US"/>
              </w:rPr>
              <w:t>Producto</w:t>
            </w:r>
            <w:proofErr w:type="spellEnd"/>
          </w:p>
        </w:tc>
        <w:tc>
          <w:tcPr>
            <w:tcW w:w="887" w:type="pct"/>
            <w:tcBorders>
              <w:top w:val="single" w:sz="4" w:space="0" w:color="auto"/>
              <w:left w:val="nil"/>
              <w:bottom w:val="single" w:sz="4" w:space="0" w:color="auto"/>
              <w:right w:val="single" w:sz="4" w:space="0" w:color="auto"/>
            </w:tcBorders>
            <w:shd w:val="clear" w:color="auto" w:fill="CC0000"/>
            <w:vAlign w:val="center"/>
            <w:hideMark/>
          </w:tcPr>
          <w:p w14:paraId="7820C2D3" w14:textId="77777777" w:rsidR="0093266A" w:rsidRPr="004F34D6" w:rsidRDefault="0093266A" w:rsidP="002F4678">
            <w:pPr>
              <w:spacing w:after="0" w:line="240" w:lineRule="auto"/>
              <w:jc w:val="center"/>
              <w:rPr>
                <w:rFonts w:eastAsia="Times New Roman" w:cs="Arial"/>
                <w:b/>
                <w:bCs/>
                <w:i/>
                <w:color w:val="FFFFFF"/>
                <w:sz w:val="18"/>
                <w:lang w:val="en-US"/>
              </w:rPr>
            </w:pPr>
            <w:proofErr w:type="spellStart"/>
            <w:r w:rsidRPr="004F34D6">
              <w:rPr>
                <w:rFonts w:eastAsia="Times New Roman" w:cs="Arial"/>
                <w:b/>
                <w:bCs/>
                <w:i/>
                <w:color w:val="FFFFFF"/>
                <w:sz w:val="18"/>
                <w:lang w:val="en-US"/>
              </w:rPr>
              <w:t>Responsable</w:t>
            </w:r>
            <w:proofErr w:type="spellEnd"/>
          </w:p>
        </w:tc>
        <w:tc>
          <w:tcPr>
            <w:tcW w:w="669" w:type="pct"/>
            <w:tcBorders>
              <w:top w:val="single" w:sz="4" w:space="0" w:color="auto"/>
              <w:left w:val="nil"/>
              <w:bottom w:val="single" w:sz="4" w:space="0" w:color="auto"/>
              <w:right w:val="single" w:sz="4" w:space="0" w:color="auto"/>
            </w:tcBorders>
            <w:shd w:val="clear" w:color="auto" w:fill="CC0000"/>
            <w:vAlign w:val="center"/>
            <w:hideMark/>
          </w:tcPr>
          <w:p w14:paraId="1BDF0A2C" w14:textId="77777777" w:rsidR="0093266A" w:rsidRPr="004F34D6" w:rsidRDefault="0093266A" w:rsidP="002F4678">
            <w:pPr>
              <w:spacing w:after="0" w:line="240" w:lineRule="auto"/>
              <w:jc w:val="center"/>
              <w:rPr>
                <w:rFonts w:eastAsia="Times New Roman" w:cs="Arial"/>
                <w:b/>
                <w:bCs/>
                <w:i/>
                <w:color w:val="FFFFFF"/>
                <w:sz w:val="18"/>
              </w:rPr>
            </w:pPr>
            <w:r w:rsidRPr="004F34D6">
              <w:rPr>
                <w:rFonts w:eastAsia="Times New Roman" w:cs="Arial"/>
                <w:b/>
                <w:bCs/>
                <w:i/>
                <w:color w:val="FFFFFF"/>
                <w:sz w:val="18"/>
              </w:rPr>
              <w:t>Fecha Inicio</w:t>
            </w:r>
            <w:r w:rsidRPr="004F34D6">
              <w:rPr>
                <w:rFonts w:eastAsia="Times New Roman" w:cs="Arial"/>
                <w:b/>
                <w:bCs/>
                <w:i/>
                <w:color w:val="FFFFFF"/>
                <w:sz w:val="18"/>
              </w:rPr>
              <w:br/>
              <w:t>(mm/</w:t>
            </w:r>
            <w:proofErr w:type="spellStart"/>
            <w:r w:rsidRPr="004F34D6">
              <w:rPr>
                <w:rFonts w:eastAsia="Times New Roman" w:cs="Arial"/>
                <w:b/>
                <w:bCs/>
                <w:i/>
                <w:color w:val="FFFFFF"/>
                <w:sz w:val="18"/>
              </w:rPr>
              <w:t>dd</w:t>
            </w:r>
            <w:proofErr w:type="spellEnd"/>
            <w:r w:rsidRPr="004F34D6">
              <w:rPr>
                <w:rFonts w:eastAsia="Times New Roman" w:cs="Arial"/>
                <w:b/>
                <w:bCs/>
                <w:i/>
                <w:color w:val="FFFFFF"/>
                <w:sz w:val="18"/>
              </w:rPr>
              <w:t>/</w:t>
            </w:r>
            <w:proofErr w:type="spellStart"/>
            <w:r w:rsidRPr="004F34D6">
              <w:rPr>
                <w:rFonts w:eastAsia="Times New Roman" w:cs="Arial"/>
                <w:b/>
                <w:bCs/>
                <w:i/>
                <w:color w:val="FFFFFF"/>
                <w:sz w:val="18"/>
              </w:rPr>
              <w:t>aa</w:t>
            </w:r>
            <w:proofErr w:type="spellEnd"/>
            <w:r w:rsidRPr="004F34D6">
              <w:rPr>
                <w:rFonts w:eastAsia="Times New Roman" w:cs="Arial"/>
                <w:b/>
                <w:bCs/>
                <w:i/>
                <w:color w:val="FFFFFF"/>
                <w:sz w:val="18"/>
              </w:rPr>
              <w:t>)</w:t>
            </w:r>
          </w:p>
        </w:tc>
        <w:tc>
          <w:tcPr>
            <w:tcW w:w="669" w:type="pct"/>
            <w:tcBorders>
              <w:top w:val="single" w:sz="4" w:space="0" w:color="auto"/>
              <w:left w:val="nil"/>
              <w:bottom w:val="single" w:sz="4" w:space="0" w:color="auto"/>
              <w:right w:val="single" w:sz="4" w:space="0" w:color="auto"/>
            </w:tcBorders>
            <w:shd w:val="clear" w:color="auto" w:fill="CC0000"/>
            <w:vAlign w:val="center"/>
            <w:hideMark/>
          </w:tcPr>
          <w:p w14:paraId="5695F4A7" w14:textId="77777777" w:rsidR="0093266A" w:rsidRPr="004F34D6" w:rsidRDefault="0093266A" w:rsidP="002F4678">
            <w:pPr>
              <w:spacing w:after="0" w:line="240" w:lineRule="auto"/>
              <w:jc w:val="center"/>
              <w:rPr>
                <w:rFonts w:eastAsia="Times New Roman" w:cs="Arial"/>
                <w:b/>
                <w:bCs/>
                <w:i/>
                <w:color w:val="FFFFFF"/>
                <w:sz w:val="18"/>
              </w:rPr>
            </w:pPr>
            <w:r w:rsidRPr="004F34D6">
              <w:rPr>
                <w:rFonts w:eastAsia="Times New Roman" w:cs="Arial"/>
                <w:b/>
                <w:bCs/>
                <w:i/>
                <w:color w:val="FFFFFF"/>
                <w:sz w:val="18"/>
              </w:rPr>
              <w:t>Fecha Final</w:t>
            </w:r>
            <w:r w:rsidRPr="004F34D6">
              <w:rPr>
                <w:rFonts w:eastAsia="Times New Roman" w:cs="Arial"/>
                <w:b/>
                <w:bCs/>
                <w:i/>
                <w:color w:val="FFFFFF"/>
                <w:sz w:val="18"/>
              </w:rPr>
              <w:br/>
              <w:t>(mm/</w:t>
            </w:r>
            <w:proofErr w:type="spellStart"/>
            <w:r w:rsidRPr="004F34D6">
              <w:rPr>
                <w:rFonts w:eastAsia="Times New Roman" w:cs="Arial"/>
                <w:b/>
                <w:bCs/>
                <w:i/>
                <w:color w:val="FFFFFF"/>
                <w:sz w:val="18"/>
              </w:rPr>
              <w:t>dd</w:t>
            </w:r>
            <w:proofErr w:type="spellEnd"/>
            <w:r w:rsidRPr="004F34D6">
              <w:rPr>
                <w:rFonts w:eastAsia="Times New Roman" w:cs="Arial"/>
                <w:b/>
                <w:bCs/>
                <w:i/>
                <w:color w:val="FFFFFF"/>
                <w:sz w:val="18"/>
              </w:rPr>
              <w:t>/</w:t>
            </w:r>
            <w:proofErr w:type="spellStart"/>
            <w:r w:rsidRPr="004F34D6">
              <w:rPr>
                <w:rFonts w:eastAsia="Times New Roman" w:cs="Arial"/>
                <w:b/>
                <w:bCs/>
                <w:i/>
                <w:color w:val="FFFFFF"/>
                <w:sz w:val="18"/>
              </w:rPr>
              <w:t>aa</w:t>
            </w:r>
            <w:proofErr w:type="spellEnd"/>
            <w:r w:rsidRPr="004F34D6">
              <w:rPr>
                <w:rFonts w:eastAsia="Times New Roman" w:cs="Arial"/>
                <w:b/>
                <w:bCs/>
                <w:i/>
                <w:color w:val="FFFFFF"/>
                <w:sz w:val="18"/>
              </w:rPr>
              <w:t>)</w:t>
            </w:r>
          </w:p>
        </w:tc>
      </w:tr>
      <w:tr w:rsidR="0093266A" w:rsidRPr="004F34D6" w14:paraId="5D8CD83A" w14:textId="77777777" w:rsidTr="005E1B82">
        <w:trPr>
          <w:trHeight w:val="1380"/>
        </w:trPr>
        <w:tc>
          <w:tcPr>
            <w:tcW w:w="958" w:type="pct"/>
            <w:tcBorders>
              <w:top w:val="nil"/>
              <w:left w:val="single" w:sz="4" w:space="0" w:color="auto"/>
              <w:bottom w:val="nil"/>
              <w:right w:val="single" w:sz="4" w:space="0" w:color="auto"/>
            </w:tcBorders>
            <w:shd w:val="clear" w:color="auto" w:fill="auto"/>
            <w:vAlign w:val="bottom"/>
            <w:hideMark/>
          </w:tcPr>
          <w:p w14:paraId="554DD206" w14:textId="77777777" w:rsidR="0093266A" w:rsidRPr="004F34D6" w:rsidRDefault="0093266A" w:rsidP="002F4678">
            <w:pPr>
              <w:spacing w:after="0" w:line="240" w:lineRule="auto"/>
              <w:jc w:val="center"/>
              <w:rPr>
                <w:rFonts w:eastAsia="Times New Roman" w:cs="Arial"/>
                <w:b/>
                <w:bCs/>
                <w:i/>
                <w:color w:val="000000"/>
                <w:sz w:val="18"/>
                <w:szCs w:val="20"/>
                <w:lang w:val="en-US"/>
              </w:rPr>
            </w:pPr>
            <w:proofErr w:type="spellStart"/>
            <w:r w:rsidRPr="004F34D6">
              <w:rPr>
                <w:rFonts w:eastAsia="Times New Roman" w:cs="Arial"/>
                <w:b/>
                <w:bCs/>
                <w:i/>
                <w:color w:val="000000"/>
                <w:sz w:val="18"/>
                <w:szCs w:val="20"/>
                <w:lang w:val="en-US"/>
              </w:rPr>
              <w:t>Subcomponente</w:t>
            </w:r>
            <w:proofErr w:type="spellEnd"/>
            <w:r w:rsidRPr="004F34D6">
              <w:rPr>
                <w:rFonts w:eastAsia="Times New Roman" w:cs="Arial"/>
                <w:b/>
                <w:bCs/>
                <w:i/>
                <w:color w:val="000000"/>
                <w:sz w:val="18"/>
                <w:szCs w:val="20"/>
                <w:lang w:val="en-US"/>
              </w:rPr>
              <w:t xml:space="preserve"> 1</w:t>
            </w:r>
          </w:p>
        </w:tc>
        <w:tc>
          <w:tcPr>
            <w:tcW w:w="914" w:type="pct"/>
            <w:tcBorders>
              <w:top w:val="nil"/>
              <w:left w:val="nil"/>
              <w:bottom w:val="nil"/>
              <w:right w:val="single" w:sz="4" w:space="0" w:color="auto"/>
            </w:tcBorders>
            <w:shd w:val="clear" w:color="auto" w:fill="auto"/>
            <w:vAlign w:val="center"/>
            <w:hideMark/>
          </w:tcPr>
          <w:p w14:paraId="257F225F"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1.Divulgación a la ciudadanía de los datos abiertos disponibles por la entidad para su aprovechamiento</w:t>
            </w:r>
          </w:p>
        </w:tc>
        <w:tc>
          <w:tcPr>
            <w:tcW w:w="903" w:type="pct"/>
            <w:tcBorders>
              <w:top w:val="nil"/>
              <w:left w:val="nil"/>
              <w:bottom w:val="nil"/>
              <w:right w:val="single" w:sz="4" w:space="0" w:color="auto"/>
            </w:tcBorders>
            <w:shd w:val="clear" w:color="auto" w:fill="auto"/>
            <w:vAlign w:val="center"/>
            <w:hideMark/>
          </w:tcPr>
          <w:p w14:paraId="19566976"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2 divulgaciones de datos abiertos al año</w:t>
            </w:r>
          </w:p>
        </w:tc>
        <w:tc>
          <w:tcPr>
            <w:tcW w:w="887" w:type="pct"/>
            <w:tcBorders>
              <w:top w:val="nil"/>
              <w:left w:val="nil"/>
              <w:bottom w:val="single" w:sz="4" w:space="0" w:color="auto"/>
              <w:right w:val="single" w:sz="4" w:space="0" w:color="auto"/>
            </w:tcBorders>
            <w:shd w:val="clear" w:color="auto" w:fill="auto"/>
            <w:vAlign w:val="center"/>
            <w:hideMark/>
          </w:tcPr>
          <w:p w14:paraId="23188A44"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Oficina</w:t>
            </w:r>
            <w:proofErr w:type="spell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Asesora</w:t>
            </w:r>
            <w:proofErr w:type="spellEnd"/>
            <w:r w:rsidRPr="004F34D6">
              <w:rPr>
                <w:rFonts w:eastAsia="Times New Roman" w:cs="Arial"/>
                <w:i/>
                <w:color w:val="000000"/>
                <w:sz w:val="18"/>
                <w:szCs w:val="20"/>
                <w:lang w:val="en-US"/>
              </w:rPr>
              <w:t xml:space="preserve"> de </w:t>
            </w:r>
            <w:proofErr w:type="spellStart"/>
            <w:r w:rsidRPr="004F34D6">
              <w:rPr>
                <w:rFonts w:eastAsia="Times New Roman" w:cs="Arial"/>
                <w:i/>
                <w:color w:val="000000"/>
                <w:sz w:val="18"/>
                <w:szCs w:val="20"/>
                <w:lang w:val="en-US"/>
              </w:rPr>
              <w:t>Planeación</w:t>
            </w:r>
            <w:proofErr w:type="spellEnd"/>
          </w:p>
        </w:tc>
        <w:tc>
          <w:tcPr>
            <w:tcW w:w="669" w:type="pct"/>
            <w:tcBorders>
              <w:top w:val="nil"/>
              <w:left w:val="nil"/>
              <w:bottom w:val="single" w:sz="4" w:space="0" w:color="auto"/>
              <w:right w:val="single" w:sz="4" w:space="0" w:color="auto"/>
            </w:tcBorders>
            <w:shd w:val="clear" w:color="auto" w:fill="auto"/>
            <w:noWrap/>
            <w:vAlign w:val="center"/>
            <w:hideMark/>
          </w:tcPr>
          <w:p w14:paraId="7F7D2798"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15/02/2022</w:t>
            </w:r>
          </w:p>
        </w:tc>
        <w:tc>
          <w:tcPr>
            <w:tcW w:w="669" w:type="pct"/>
            <w:tcBorders>
              <w:top w:val="nil"/>
              <w:left w:val="nil"/>
              <w:bottom w:val="single" w:sz="4" w:space="0" w:color="auto"/>
              <w:right w:val="single" w:sz="4" w:space="0" w:color="auto"/>
            </w:tcBorders>
            <w:shd w:val="clear" w:color="auto" w:fill="auto"/>
            <w:noWrap/>
            <w:vAlign w:val="center"/>
            <w:hideMark/>
          </w:tcPr>
          <w:p w14:paraId="7F64EAB3"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30/11/2022</w:t>
            </w:r>
          </w:p>
        </w:tc>
      </w:tr>
      <w:tr w:rsidR="0093266A" w:rsidRPr="004F34D6" w14:paraId="4F945410" w14:textId="77777777" w:rsidTr="005E1B82">
        <w:trPr>
          <w:trHeight w:val="1395"/>
        </w:trPr>
        <w:tc>
          <w:tcPr>
            <w:tcW w:w="958" w:type="pct"/>
            <w:tcBorders>
              <w:top w:val="nil"/>
              <w:left w:val="single" w:sz="4" w:space="0" w:color="auto"/>
              <w:bottom w:val="nil"/>
              <w:right w:val="single" w:sz="4" w:space="0" w:color="auto"/>
            </w:tcBorders>
            <w:shd w:val="clear" w:color="auto" w:fill="auto"/>
            <w:hideMark/>
          </w:tcPr>
          <w:p w14:paraId="7F500501"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 xml:space="preserve">Información adecuada para la rendición de cuentas </w:t>
            </w:r>
            <w:r w:rsidRPr="004F34D6">
              <w:rPr>
                <w:rFonts w:eastAsia="Times New Roman" w:cs="Arial"/>
                <w:i/>
                <w:color w:val="000000"/>
                <w:sz w:val="18"/>
                <w:szCs w:val="20"/>
              </w:rPr>
              <w:br/>
              <w:t>Información de calidad y en lenguaje comprensible</w:t>
            </w:r>
          </w:p>
        </w:tc>
        <w:tc>
          <w:tcPr>
            <w:tcW w:w="914" w:type="pct"/>
            <w:tcBorders>
              <w:top w:val="single" w:sz="4" w:space="0" w:color="auto"/>
              <w:left w:val="nil"/>
              <w:bottom w:val="nil"/>
              <w:right w:val="single" w:sz="4" w:space="0" w:color="auto"/>
            </w:tcBorders>
            <w:shd w:val="clear" w:color="auto" w:fill="auto"/>
            <w:vAlign w:val="center"/>
            <w:hideMark/>
          </w:tcPr>
          <w:p w14:paraId="3BDCF2B2"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2.Cualificar la participación ciudadana, sensibilizando a los grupos de valor y de interés en el ejercicio de participación y rendición de cuentas  </w:t>
            </w:r>
          </w:p>
        </w:tc>
        <w:tc>
          <w:tcPr>
            <w:tcW w:w="903" w:type="pct"/>
            <w:tcBorders>
              <w:top w:val="single" w:sz="4" w:space="0" w:color="auto"/>
              <w:left w:val="nil"/>
              <w:bottom w:val="nil"/>
              <w:right w:val="single" w:sz="4" w:space="0" w:color="auto"/>
            </w:tcBorders>
            <w:shd w:val="clear" w:color="auto" w:fill="auto"/>
            <w:vAlign w:val="center"/>
            <w:hideMark/>
          </w:tcPr>
          <w:p w14:paraId="26576FE8"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1 jornada de sensibilización y socialización sobre participación ciudadana y rendición de cuentas con la ciudadanía y los grupos de interés</w:t>
            </w:r>
          </w:p>
        </w:tc>
        <w:tc>
          <w:tcPr>
            <w:tcW w:w="887" w:type="pct"/>
            <w:tcBorders>
              <w:top w:val="nil"/>
              <w:left w:val="nil"/>
              <w:bottom w:val="single" w:sz="4" w:space="0" w:color="auto"/>
              <w:right w:val="single" w:sz="4" w:space="0" w:color="auto"/>
            </w:tcBorders>
            <w:shd w:val="clear" w:color="auto" w:fill="auto"/>
            <w:vAlign w:val="center"/>
            <w:hideMark/>
          </w:tcPr>
          <w:p w14:paraId="036CD793"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Oficina</w:t>
            </w:r>
            <w:proofErr w:type="spell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Asesora</w:t>
            </w:r>
            <w:proofErr w:type="spellEnd"/>
            <w:r w:rsidRPr="004F34D6">
              <w:rPr>
                <w:rFonts w:eastAsia="Times New Roman" w:cs="Arial"/>
                <w:i/>
                <w:color w:val="000000"/>
                <w:sz w:val="18"/>
                <w:szCs w:val="20"/>
                <w:lang w:val="en-US"/>
              </w:rPr>
              <w:t xml:space="preserve"> de </w:t>
            </w:r>
            <w:proofErr w:type="spellStart"/>
            <w:r w:rsidRPr="004F34D6">
              <w:rPr>
                <w:rFonts w:eastAsia="Times New Roman" w:cs="Arial"/>
                <w:i/>
                <w:color w:val="000000"/>
                <w:sz w:val="18"/>
                <w:szCs w:val="20"/>
                <w:lang w:val="en-US"/>
              </w:rPr>
              <w:t>Planeación</w:t>
            </w:r>
            <w:proofErr w:type="spellEnd"/>
          </w:p>
        </w:tc>
        <w:tc>
          <w:tcPr>
            <w:tcW w:w="669" w:type="pct"/>
            <w:tcBorders>
              <w:top w:val="nil"/>
              <w:left w:val="nil"/>
              <w:bottom w:val="single" w:sz="4" w:space="0" w:color="auto"/>
              <w:right w:val="single" w:sz="4" w:space="0" w:color="auto"/>
            </w:tcBorders>
            <w:shd w:val="clear" w:color="auto" w:fill="auto"/>
            <w:noWrap/>
            <w:vAlign w:val="center"/>
            <w:hideMark/>
          </w:tcPr>
          <w:p w14:paraId="0196D00A"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15/02/2022</w:t>
            </w:r>
          </w:p>
        </w:tc>
        <w:tc>
          <w:tcPr>
            <w:tcW w:w="669" w:type="pct"/>
            <w:tcBorders>
              <w:top w:val="nil"/>
              <w:left w:val="nil"/>
              <w:bottom w:val="single" w:sz="4" w:space="0" w:color="auto"/>
              <w:right w:val="single" w:sz="4" w:space="0" w:color="auto"/>
            </w:tcBorders>
            <w:shd w:val="clear" w:color="auto" w:fill="auto"/>
            <w:noWrap/>
            <w:vAlign w:val="center"/>
            <w:hideMark/>
          </w:tcPr>
          <w:p w14:paraId="11B7B480"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28/10/2022</w:t>
            </w:r>
          </w:p>
        </w:tc>
      </w:tr>
      <w:tr w:rsidR="0093266A" w:rsidRPr="004F34D6" w14:paraId="71F324B6" w14:textId="77777777" w:rsidTr="005E1B82">
        <w:trPr>
          <w:trHeight w:val="1260"/>
        </w:trPr>
        <w:tc>
          <w:tcPr>
            <w:tcW w:w="958" w:type="pct"/>
            <w:tcBorders>
              <w:top w:val="nil"/>
              <w:left w:val="single" w:sz="4" w:space="0" w:color="auto"/>
              <w:bottom w:val="nil"/>
              <w:right w:val="single" w:sz="4" w:space="0" w:color="auto"/>
            </w:tcBorders>
            <w:shd w:val="clear" w:color="auto" w:fill="auto"/>
            <w:vAlign w:val="center"/>
            <w:hideMark/>
          </w:tcPr>
          <w:p w14:paraId="0869CCAF" w14:textId="77777777" w:rsidR="0093266A" w:rsidRPr="004F34D6" w:rsidRDefault="0093266A" w:rsidP="002F4678">
            <w:pPr>
              <w:spacing w:after="0" w:line="240" w:lineRule="auto"/>
              <w:rPr>
                <w:rFonts w:eastAsia="Times New Roman" w:cs="Arial"/>
                <w:b/>
                <w:bCs/>
                <w:i/>
                <w:color w:val="000000"/>
                <w:sz w:val="18"/>
                <w:szCs w:val="20"/>
                <w:lang w:val="en-US"/>
              </w:rPr>
            </w:pPr>
            <w:r w:rsidRPr="004F34D6">
              <w:rPr>
                <w:rFonts w:eastAsia="Times New Roman" w:cs="Arial"/>
                <w:b/>
                <w:bCs/>
                <w:i/>
                <w:color w:val="000000"/>
                <w:sz w:val="18"/>
                <w:szCs w:val="20"/>
                <w:lang w:val="en-US"/>
              </w:rPr>
              <w:t> </w:t>
            </w:r>
          </w:p>
        </w:tc>
        <w:tc>
          <w:tcPr>
            <w:tcW w:w="914" w:type="pct"/>
            <w:tcBorders>
              <w:top w:val="single" w:sz="4" w:space="0" w:color="auto"/>
              <w:left w:val="nil"/>
              <w:bottom w:val="nil"/>
              <w:right w:val="single" w:sz="4" w:space="0" w:color="auto"/>
            </w:tcBorders>
            <w:shd w:val="clear" w:color="auto" w:fill="auto"/>
            <w:vAlign w:val="center"/>
            <w:hideMark/>
          </w:tcPr>
          <w:p w14:paraId="5DDE0FB8"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3.Elaborar y publicar el informe de rendición de cuentas de la entidad</w:t>
            </w:r>
          </w:p>
        </w:tc>
        <w:tc>
          <w:tcPr>
            <w:tcW w:w="903" w:type="pct"/>
            <w:tcBorders>
              <w:top w:val="single" w:sz="4" w:space="0" w:color="auto"/>
              <w:left w:val="nil"/>
              <w:bottom w:val="nil"/>
              <w:right w:val="single" w:sz="4" w:space="0" w:color="auto"/>
            </w:tcBorders>
            <w:shd w:val="clear" w:color="auto" w:fill="auto"/>
            <w:vAlign w:val="center"/>
            <w:hideMark/>
          </w:tcPr>
          <w:p w14:paraId="2B0DDDE3"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1 Informe de rendición de cuentas de la UAECOB</w:t>
            </w:r>
          </w:p>
        </w:tc>
        <w:tc>
          <w:tcPr>
            <w:tcW w:w="887" w:type="pct"/>
            <w:tcBorders>
              <w:top w:val="nil"/>
              <w:left w:val="nil"/>
              <w:bottom w:val="single" w:sz="4" w:space="0" w:color="auto"/>
              <w:right w:val="single" w:sz="4" w:space="0" w:color="auto"/>
            </w:tcBorders>
            <w:shd w:val="clear" w:color="auto" w:fill="auto"/>
            <w:vAlign w:val="center"/>
            <w:hideMark/>
          </w:tcPr>
          <w:p w14:paraId="4E061159"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Oficina</w:t>
            </w:r>
            <w:proofErr w:type="spell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Asesora</w:t>
            </w:r>
            <w:proofErr w:type="spellEnd"/>
            <w:r w:rsidRPr="004F34D6">
              <w:rPr>
                <w:rFonts w:eastAsia="Times New Roman" w:cs="Arial"/>
                <w:i/>
                <w:color w:val="000000"/>
                <w:sz w:val="18"/>
                <w:szCs w:val="20"/>
                <w:lang w:val="en-US"/>
              </w:rPr>
              <w:t xml:space="preserve"> de </w:t>
            </w:r>
            <w:proofErr w:type="spellStart"/>
            <w:r w:rsidRPr="004F34D6">
              <w:rPr>
                <w:rFonts w:eastAsia="Times New Roman" w:cs="Arial"/>
                <w:i/>
                <w:color w:val="000000"/>
                <w:sz w:val="18"/>
                <w:szCs w:val="20"/>
                <w:lang w:val="en-US"/>
              </w:rPr>
              <w:t>Planeación</w:t>
            </w:r>
            <w:proofErr w:type="spellEnd"/>
          </w:p>
        </w:tc>
        <w:tc>
          <w:tcPr>
            <w:tcW w:w="669" w:type="pct"/>
            <w:tcBorders>
              <w:top w:val="nil"/>
              <w:left w:val="nil"/>
              <w:bottom w:val="single" w:sz="4" w:space="0" w:color="auto"/>
              <w:right w:val="single" w:sz="4" w:space="0" w:color="auto"/>
            </w:tcBorders>
            <w:shd w:val="clear" w:color="auto" w:fill="auto"/>
            <w:noWrap/>
            <w:vAlign w:val="center"/>
            <w:hideMark/>
          </w:tcPr>
          <w:p w14:paraId="59D472E6"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15/02/2022</w:t>
            </w:r>
          </w:p>
        </w:tc>
        <w:tc>
          <w:tcPr>
            <w:tcW w:w="669" w:type="pct"/>
            <w:tcBorders>
              <w:top w:val="nil"/>
              <w:left w:val="nil"/>
              <w:bottom w:val="single" w:sz="4" w:space="0" w:color="auto"/>
              <w:right w:val="single" w:sz="4" w:space="0" w:color="auto"/>
            </w:tcBorders>
            <w:shd w:val="clear" w:color="auto" w:fill="auto"/>
            <w:noWrap/>
            <w:vAlign w:val="center"/>
            <w:hideMark/>
          </w:tcPr>
          <w:p w14:paraId="4648CD27"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28/10/2022</w:t>
            </w:r>
          </w:p>
        </w:tc>
      </w:tr>
      <w:tr w:rsidR="0093266A" w:rsidRPr="004F34D6" w14:paraId="6E1684BB" w14:textId="77777777" w:rsidTr="005E1B82">
        <w:trPr>
          <w:trHeight w:val="1260"/>
        </w:trPr>
        <w:tc>
          <w:tcPr>
            <w:tcW w:w="958" w:type="pct"/>
            <w:tcBorders>
              <w:top w:val="nil"/>
              <w:left w:val="single" w:sz="4" w:space="0" w:color="auto"/>
              <w:bottom w:val="nil"/>
              <w:right w:val="single" w:sz="4" w:space="0" w:color="auto"/>
            </w:tcBorders>
            <w:shd w:val="clear" w:color="auto" w:fill="auto"/>
            <w:vAlign w:val="center"/>
            <w:hideMark/>
          </w:tcPr>
          <w:p w14:paraId="17D44844" w14:textId="77777777" w:rsidR="0093266A" w:rsidRPr="004F34D6" w:rsidRDefault="0093266A" w:rsidP="002F4678">
            <w:pPr>
              <w:spacing w:after="0" w:line="240" w:lineRule="auto"/>
              <w:rPr>
                <w:rFonts w:eastAsia="Times New Roman" w:cs="Arial"/>
                <w:b/>
                <w:bCs/>
                <w:i/>
                <w:color w:val="000000"/>
                <w:sz w:val="18"/>
                <w:szCs w:val="20"/>
                <w:lang w:val="en-US"/>
              </w:rPr>
            </w:pPr>
            <w:r w:rsidRPr="004F34D6">
              <w:rPr>
                <w:rFonts w:eastAsia="Times New Roman" w:cs="Arial"/>
                <w:b/>
                <w:bCs/>
                <w:i/>
                <w:color w:val="000000"/>
                <w:sz w:val="18"/>
                <w:szCs w:val="20"/>
                <w:lang w:val="en-US"/>
              </w:rPr>
              <w:t> </w:t>
            </w:r>
          </w:p>
        </w:tc>
        <w:tc>
          <w:tcPr>
            <w:tcW w:w="914" w:type="pct"/>
            <w:tcBorders>
              <w:top w:val="single" w:sz="4" w:space="0" w:color="auto"/>
              <w:left w:val="nil"/>
              <w:bottom w:val="nil"/>
              <w:right w:val="single" w:sz="4" w:space="0" w:color="auto"/>
            </w:tcBorders>
            <w:shd w:val="clear" w:color="auto" w:fill="auto"/>
            <w:vAlign w:val="center"/>
            <w:hideMark/>
          </w:tcPr>
          <w:p w14:paraId="45E50CC7"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4. Realizar diez (10) acciones de divulgación de resultados con la ciudadanía, grupos de valor y partes interesadas </w:t>
            </w:r>
          </w:p>
        </w:tc>
        <w:tc>
          <w:tcPr>
            <w:tcW w:w="903" w:type="pct"/>
            <w:tcBorders>
              <w:top w:val="single" w:sz="4" w:space="0" w:color="auto"/>
              <w:left w:val="nil"/>
              <w:bottom w:val="nil"/>
              <w:right w:val="single" w:sz="4" w:space="0" w:color="auto"/>
            </w:tcBorders>
            <w:shd w:val="clear" w:color="auto" w:fill="auto"/>
            <w:vAlign w:val="center"/>
            <w:hideMark/>
          </w:tcPr>
          <w:p w14:paraId="7F281158"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 xml:space="preserve">Post en redes sociales, comunicados de prensa, sitio web y </w:t>
            </w:r>
            <w:proofErr w:type="spellStart"/>
            <w:r w:rsidRPr="004F34D6">
              <w:rPr>
                <w:rFonts w:eastAsia="Times New Roman" w:cs="Arial"/>
                <w:i/>
                <w:color w:val="000000"/>
                <w:sz w:val="18"/>
                <w:szCs w:val="20"/>
              </w:rPr>
              <w:t>lives</w:t>
            </w:r>
            <w:proofErr w:type="spellEnd"/>
          </w:p>
        </w:tc>
        <w:tc>
          <w:tcPr>
            <w:tcW w:w="887" w:type="pct"/>
            <w:tcBorders>
              <w:top w:val="nil"/>
              <w:left w:val="nil"/>
              <w:bottom w:val="single" w:sz="4" w:space="0" w:color="auto"/>
              <w:right w:val="single" w:sz="4" w:space="0" w:color="auto"/>
            </w:tcBorders>
            <w:shd w:val="clear" w:color="auto" w:fill="auto"/>
            <w:vAlign w:val="center"/>
            <w:hideMark/>
          </w:tcPr>
          <w:p w14:paraId="3F2E621E"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7176EA31"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1/01/2022</w:t>
            </w:r>
          </w:p>
        </w:tc>
        <w:tc>
          <w:tcPr>
            <w:tcW w:w="669" w:type="pct"/>
            <w:tcBorders>
              <w:top w:val="nil"/>
              <w:left w:val="nil"/>
              <w:bottom w:val="single" w:sz="4" w:space="0" w:color="auto"/>
              <w:right w:val="single" w:sz="4" w:space="0" w:color="auto"/>
            </w:tcBorders>
            <w:shd w:val="clear" w:color="auto" w:fill="auto"/>
            <w:noWrap/>
            <w:vAlign w:val="center"/>
            <w:hideMark/>
          </w:tcPr>
          <w:p w14:paraId="7A035D12"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16/12/2022</w:t>
            </w:r>
          </w:p>
        </w:tc>
      </w:tr>
      <w:tr w:rsidR="0093266A" w:rsidRPr="004F34D6" w14:paraId="74F9B2F9" w14:textId="77777777" w:rsidTr="005E1B82">
        <w:trPr>
          <w:trHeight w:val="1260"/>
        </w:trPr>
        <w:tc>
          <w:tcPr>
            <w:tcW w:w="958" w:type="pct"/>
            <w:tcBorders>
              <w:top w:val="nil"/>
              <w:left w:val="single" w:sz="4" w:space="0" w:color="auto"/>
              <w:bottom w:val="nil"/>
              <w:right w:val="single" w:sz="4" w:space="0" w:color="auto"/>
            </w:tcBorders>
            <w:shd w:val="clear" w:color="auto" w:fill="auto"/>
            <w:vAlign w:val="center"/>
            <w:hideMark/>
          </w:tcPr>
          <w:p w14:paraId="70EEEA40" w14:textId="77777777" w:rsidR="0093266A" w:rsidRPr="004F34D6" w:rsidRDefault="0093266A" w:rsidP="002F4678">
            <w:pPr>
              <w:spacing w:after="0" w:line="240" w:lineRule="auto"/>
              <w:rPr>
                <w:rFonts w:eastAsia="Times New Roman" w:cs="Arial"/>
                <w:b/>
                <w:bCs/>
                <w:i/>
                <w:color w:val="000000"/>
                <w:sz w:val="18"/>
                <w:szCs w:val="20"/>
                <w:lang w:val="en-US"/>
              </w:rPr>
            </w:pPr>
            <w:r w:rsidRPr="004F34D6">
              <w:rPr>
                <w:rFonts w:eastAsia="Times New Roman" w:cs="Arial"/>
                <w:b/>
                <w:bCs/>
                <w:i/>
                <w:color w:val="000000"/>
                <w:sz w:val="18"/>
                <w:szCs w:val="20"/>
                <w:lang w:val="en-US"/>
              </w:rPr>
              <w:t> </w:t>
            </w:r>
          </w:p>
        </w:tc>
        <w:tc>
          <w:tcPr>
            <w:tcW w:w="914" w:type="pct"/>
            <w:tcBorders>
              <w:top w:val="single" w:sz="4" w:space="0" w:color="auto"/>
              <w:left w:val="nil"/>
              <w:bottom w:val="nil"/>
              <w:right w:val="single" w:sz="4" w:space="0" w:color="auto"/>
            </w:tcBorders>
            <w:shd w:val="clear" w:color="auto" w:fill="auto"/>
            <w:vAlign w:val="center"/>
            <w:hideMark/>
          </w:tcPr>
          <w:p w14:paraId="189D7DE2"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5. Realizar dos (2) campañas para la ciudadanía, funcionarios y los contratistas de la UAECOB, enfocada en el tema de anticorrupción</w:t>
            </w:r>
          </w:p>
        </w:tc>
        <w:tc>
          <w:tcPr>
            <w:tcW w:w="903" w:type="pct"/>
            <w:tcBorders>
              <w:top w:val="single" w:sz="4" w:space="0" w:color="auto"/>
              <w:left w:val="nil"/>
              <w:bottom w:val="nil"/>
              <w:right w:val="single" w:sz="4" w:space="0" w:color="auto"/>
            </w:tcBorders>
            <w:shd w:val="clear" w:color="auto" w:fill="auto"/>
            <w:vAlign w:val="center"/>
            <w:hideMark/>
          </w:tcPr>
          <w:p w14:paraId="6CF2F87A"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 xml:space="preserve">2 campañas a través de distintos medios </w:t>
            </w:r>
          </w:p>
        </w:tc>
        <w:tc>
          <w:tcPr>
            <w:tcW w:w="887" w:type="pct"/>
            <w:tcBorders>
              <w:top w:val="nil"/>
              <w:left w:val="nil"/>
              <w:bottom w:val="single" w:sz="4" w:space="0" w:color="auto"/>
              <w:right w:val="single" w:sz="4" w:space="0" w:color="auto"/>
            </w:tcBorders>
            <w:shd w:val="clear" w:color="auto" w:fill="auto"/>
            <w:vAlign w:val="center"/>
            <w:hideMark/>
          </w:tcPr>
          <w:p w14:paraId="4033550F"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0C52FA4B"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1/03/2022</w:t>
            </w:r>
          </w:p>
        </w:tc>
        <w:tc>
          <w:tcPr>
            <w:tcW w:w="669" w:type="pct"/>
            <w:tcBorders>
              <w:top w:val="nil"/>
              <w:left w:val="nil"/>
              <w:bottom w:val="single" w:sz="4" w:space="0" w:color="auto"/>
              <w:right w:val="single" w:sz="4" w:space="0" w:color="auto"/>
            </w:tcBorders>
            <w:shd w:val="clear" w:color="auto" w:fill="auto"/>
            <w:noWrap/>
            <w:vAlign w:val="center"/>
            <w:hideMark/>
          </w:tcPr>
          <w:p w14:paraId="6658BA8D"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30/11/2022</w:t>
            </w:r>
          </w:p>
        </w:tc>
      </w:tr>
      <w:tr w:rsidR="0093266A" w:rsidRPr="004F34D6" w14:paraId="70851B49" w14:textId="77777777" w:rsidTr="005E1B82">
        <w:trPr>
          <w:trHeight w:val="1305"/>
        </w:trPr>
        <w:tc>
          <w:tcPr>
            <w:tcW w:w="958" w:type="pct"/>
            <w:tcBorders>
              <w:top w:val="nil"/>
              <w:left w:val="single" w:sz="4" w:space="0" w:color="auto"/>
              <w:bottom w:val="nil"/>
              <w:right w:val="single" w:sz="4" w:space="0" w:color="auto"/>
            </w:tcBorders>
            <w:shd w:val="clear" w:color="auto" w:fill="auto"/>
            <w:vAlign w:val="center"/>
            <w:hideMark/>
          </w:tcPr>
          <w:p w14:paraId="2A53EF0C" w14:textId="77777777" w:rsidR="0093266A" w:rsidRPr="004F34D6" w:rsidRDefault="0093266A" w:rsidP="002F4678">
            <w:pPr>
              <w:spacing w:after="0" w:line="240" w:lineRule="auto"/>
              <w:rPr>
                <w:rFonts w:eastAsia="Times New Roman" w:cs="Arial"/>
                <w:b/>
                <w:bCs/>
                <w:i/>
                <w:color w:val="000000"/>
                <w:sz w:val="18"/>
                <w:szCs w:val="20"/>
                <w:lang w:val="en-US"/>
              </w:rPr>
            </w:pPr>
            <w:r w:rsidRPr="004F34D6">
              <w:rPr>
                <w:rFonts w:eastAsia="Times New Roman" w:cs="Arial"/>
                <w:b/>
                <w:bCs/>
                <w:i/>
                <w:color w:val="000000"/>
                <w:sz w:val="18"/>
                <w:szCs w:val="20"/>
                <w:lang w:val="en-US"/>
              </w:rPr>
              <w:t> </w:t>
            </w:r>
          </w:p>
        </w:tc>
        <w:tc>
          <w:tcPr>
            <w:tcW w:w="914" w:type="pct"/>
            <w:tcBorders>
              <w:top w:val="single" w:sz="4" w:space="0" w:color="auto"/>
              <w:left w:val="nil"/>
              <w:bottom w:val="nil"/>
              <w:right w:val="single" w:sz="4" w:space="0" w:color="auto"/>
            </w:tcBorders>
            <w:shd w:val="clear" w:color="auto" w:fill="auto"/>
            <w:vAlign w:val="center"/>
            <w:hideMark/>
          </w:tcPr>
          <w:p w14:paraId="71066B1C"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6. Generar información de interés para servidores y contratistas con </w:t>
            </w:r>
            <w:proofErr w:type="spellStart"/>
            <w:r w:rsidRPr="004F34D6">
              <w:rPr>
                <w:rFonts w:eastAsia="Times New Roman" w:cs="Arial"/>
                <w:i/>
                <w:color w:val="000000"/>
                <w:sz w:val="18"/>
                <w:szCs w:val="20"/>
              </w:rPr>
              <w:t>peridiocidad</w:t>
            </w:r>
            <w:proofErr w:type="spellEnd"/>
            <w:r w:rsidRPr="004F34D6">
              <w:rPr>
                <w:rFonts w:eastAsia="Times New Roman" w:cs="Arial"/>
                <w:i/>
                <w:color w:val="000000"/>
                <w:sz w:val="18"/>
                <w:szCs w:val="20"/>
              </w:rPr>
              <w:t xml:space="preserve"> semanal a través de los medios internos</w:t>
            </w:r>
          </w:p>
        </w:tc>
        <w:tc>
          <w:tcPr>
            <w:tcW w:w="903" w:type="pct"/>
            <w:tcBorders>
              <w:top w:val="single" w:sz="4" w:space="0" w:color="auto"/>
              <w:left w:val="nil"/>
              <w:bottom w:val="nil"/>
              <w:right w:val="single" w:sz="4" w:space="0" w:color="auto"/>
            </w:tcBorders>
            <w:shd w:val="clear" w:color="auto" w:fill="auto"/>
            <w:vAlign w:val="center"/>
            <w:hideMark/>
          </w:tcPr>
          <w:p w14:paraId="1E480384"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gramStart"/>
            <w:r w:rsidRPr="004F34D6">
              <w:rPr>
                <w:rFonts w:eastAsia="Times New Roman" w:cs="Arial"/>
                <w:i/>
                <w:color w:val="000000"/>
                <w:sz w:val="18"/>
                <w:szCs w:val="20"/>
                <w:lang w:val="en-US"/>
              </w:rPr>
              <w:t>1</w:t>
            </w:r>
            <w:r>
              <w:rPr>
                <w:rFonts w:eastAsia="Times New Roman" w:cs="Arial"/>
                <w:i/>
                <w:color w:val="000000"/>
                <w:sz w:val="18"/>
                <w:szCs w:val="20"/>
                <w:lang w:val="en-US"/>
              </w:rPr>
              <w:t>2</w:t>
            </w:r>
            <w:r w:rsidRPr="004F34D6">
              <w:rPr>
                <w:rFonts w:eastAsia="Times New Roman" w:cs="Arial"/>
                <w:i/>
                <w:color w:val="000000"/>
                <w:sz w:val="18"/>
                <w:szCs w:val="20"/>
                <w:lang w:val="en-US"/>
              </w:rPr>
              <w:t xml:space="preserve">0  </w:t>
            </w:r>
            <w:proofErr w:type="spellStart"/>
            <w:r w:rsidRPr="004F34D6">
              <w:rPr>
                <w:rFonts w:eastAsia="Times New Roman" w:cs="Arial"/>
                <w:i/>
                <w:color w:val="000000"/>
                <w:sz w:val="18"/>
                <w:szCs w:val="20"/>
                <w:lang w:val="en-US"/>
              </w:rPr>
              <w:t>publicaciones</w:t>
            </w:r>
            <w:proofErr w:type="spellEnd"/>
            <w:proofErr w:type="gramEnd"/>
            <w:r w:rsidRPr="004F34D6">
              <w:rPr>
                <w:rFonts w:eastAsia="Times New Roman" w:cs="Arial"/>
                <w:i/>
                <w:color w:val="000000"/>
                <w:sz w:val="18"/>
                <w:szCs w:val="20"/>
                <w:lang w:val="en-US"/>
              </w:rPr>
              <w:t xml:space="preserve"> al </w:t>
            </w:r>
            <w:proofErr w:type="spellStart"/>
            <w:r w:rsidRPr="004F34D6">
              <w:rPr>
                <w:rFonts w:eastAsia="Times New Roman" w:cs="Arial"/>
                <w:i/>
                <w:color w:val="000000"/>
                <w:sz w:val="18"/>
                <w:szCs w:val="20"/>
                <w:lang w:val="en-US"/>
              </w:rPr>
              <w:t>año</w:t>
            </w:r>
            <w:proofErr w:type="spellEnd"/>
          </w:p>
        </w:tc>
        <w:tc>
          <w:tcPr>
            <w:tcW w:w="887" w:type="pct"/>
            <w:tcBorders>
              <w:top w:val="nil"/>
              <w:left w:val="nil"/>
              <w:bottom w:val="single" w:sz="4" w:space="0" w:color="auto"/>
              <w:right w:val="single" w:sz="4" w:space="0" w:color="auto"/>
            </w:tcBorders>
            <w:shd w:val="clear" w:color="auto" w:fill="auto"/>
            <w:vAlign w:val="center"/>
            <w:hideMark/>
          </w:tcPr>
          <w:p w14:paraId="4BBB999F"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77014B37"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1/01/2022</w:t>
            </w:r>
          </w:p>
        </w:tc>
        <w:tc>
          <w:tcPr>
            <w:tcW w:w="669" w:type="pct"/>
            <w:tcBorders>
              <w:top w:val="nil"/>
              <w:left w:val="nil"/>
              <w:bottom w:val="single" w:sz="4" w:space="0" w:color="auto"/>
              <w:right w:val="single" w:sz="4" w:space="0" w:color="auto"/>
            </w:tcBorders>
            <w:shd w:val="clear" w:color="auto" w:fill="auto"/>
            <w:noWrap/>
            <w:vAlign w:val="center"/>
            <w:hideMark/>
          </w:tcPr>
          <w:p w14:paraId="07AF70C0"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16/12/2022</w:t>
            </w:r>
          </w:p>
        </w:tc>
      </w:tr>
      <w:tr w:rsidR="0093266A" w:rsidRPr="004F34D6" w14:paraId="0A31D18C" w14:textId="77777777" w:rsidTr="005E1B82">
        <w:trPr>
          <w:trHeight w:val="1020"/>
        </w:trPr>
        <w:tc>
          <w:tcPr>
            <w:tcW w:w="958" w:type="pct"/>
            <w:tcBorders>
              <w:top w:val="nil"/>
              <w:left w:val="single" w:sz="4" w:space="0" w:color="auto"/>
              <w:bottom w:val="single" w:sz="4" w:space="0" w:color="auto"/>
              <w:right w:val="single" w:sz="4" w:space="0" w:color="auto"/>
            </w:tcBorders>
            <w:shd w:val="clear" w:color="auto" w:fill="auto"/>
            <w:vAlign w:val="center"/>
            <w:hideMark/>
          </w:tcPr>
          <w:p w14:paraId="3D74BFCC" w14:textId="77777777" w:rsidR="0093266A" w:rsidRPr="004F34D6" w:rsidRDefault="0093266A" w:rsidP="002F4678">
            <w:pPr>
              <w:spacing w:after="0" w:line="240" w:lineRule="auto"/>
              <w:rPr>
                <w:rFonts w:eastAsia="Times New Roman" w:cs="Arial"/>
                <w:b/>
                <w:bCs/>
                <w:i/>
                <w:color w:val="000000"/>
                <w:sz w:val="18"/>
                <w:szCs w:val="20"/>
                <w:lang w:val="en-US"/>
              </w:rPr>
            </w:pPr>
            <w:r w:rsidRPr="004F34D6">
              <w:rPr>
                <w:rFonts w:eastAsia="Times New Roman" w:cs="Arial"/>
                <w:b/>
                <w:bCs/>
                <w:i/>
                <w:color w:val="000000"/>
                <w:sz w:val="18"/>
                <w:szCs w:val="20"/>
                <w:lang w:val="en-US"/>
              </w:rPr>
              <w:lastRenderedPageBreak/>
              <w:t> </w:t>
            </w:r>
          </w:p>
        </w:tc>
        <w:tc>
          <w:tcPr>
            <w:tcW w:w="914" w:type="pct"/>
            <w:tcBorders>
              <w:top w:val="single" w:sz="4" w:space="0" w:color="auto"/>
              <w:left w:val="nil"/>
              <w:bottom w:val="nil"/>
              <w:right w:val="single" w:sz="4" w:space="0" w:color="auto"/>
            </w:tcBorders>
            <w:shd w:val="clear" w:color="auto" w:fill="auto"/>
            <w:vAlign w:val="center"/>
            <w:hideMark/>
          </w:tcPr>
          <w:p w14:paraId="42EECDC0"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7. Divulgar semanalmente información sobre la gestión de la UAECOB a través del informativo Bomberos Hoy, videos y post en redes sociales. </w:t>
            </w:r>
          </w:p>
        </w:tc>
        <w:tc>
          <w:tcPr>
            <w:tcW w:w="903" w:type="pct"/>
            <w:tcBorders>
              <w:top w:val="single" w:sz="4" w:space="0" w:color="auto"/>
              <w:left w:val="nil"/>
              <w:bottom w:val="nil"/>
              <w:right w:val="single" w:sz="4" w:space="0" w:color="auto"/>
            </w:tcBorders>
            <w:shd w:val="clear" w:color="auto" w:fill="auto"/>
            <w:vAlign w:val="center"/>
            <w:hideMark/>
          </w:tcPr>
          <w:p w14:paraId="5E581404" w14:textId="77777777" w:rsidR="0093266A" w:rsidRPr="004F34D6" w:rsidRDefault="0093266A" w:rsidP="002F4678">
            <w:pPr>
              <w:spacing w:after="0" w:line="240" w:lineRule="auto"/>
              <w:jc w:val="center"/>
              <w:rPr>
                <w:rFonts w:eastAsia="Times New Roman" w:cs="Arial"/>
                <w:i/>
                <w:color w:val="000000"/>
                <w:sz w:val="18"/>
                <w:szCs w:val="20"/>
              </w:rPr>
            </w:pPr>
            <w:r>
              <w:rPr>
                <w:rFonts w:eastAsia="Times New Roman" w:cs="Arial"/>
                <w:i/>
                <w:color w:val="000000"/>
                <w:sz w:val="18"/>
                <w:szCs w:val="20"/>
              </w:rPr>
              <w:t>5</w:t>
            </w:r>
            <w:r w:rsidRPr="004F34D6">
              <w:rPr>
                <w:rFonts w:eastAsia="Times New Roman" w:cs="Arial"/>
                <w:i/>
                <w:color w:val="000000"/>
                <w:sz w:val="18"/>
                <w:szCs w:val="20"/>
              </w:rPr>
              <w:t>0 publicaciones en el noticiero Bomberos Hoy</w:t>
            </w:r>
          </w:p>
        </w:tc>
        <w:tc>
          <w:tcPr>
            <w:tcW w:w="887" w:type="pct"/>
            <w:tcBorders>
              <w:top w:val="nil"/>
              <w:left w:val="nil"/>
              <w:bottom w:val="single" w:sz="4" w:space="0" w:color="auto"/>
              <w:right w:val="single" w:sz="4" w:space="0" w:color="auto"/>
            </w:tcBorders>
            <w:shd w:val="clear" w:color="auto" w:fill="auto"/>
            <w:vAlign w:val="center"/>
            <w:hideMark/>
          </w:tcPr>
          <w:p w14:paraId="7404D26A"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78091B19"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3/01/2022</w:t>
            </w:r>
          </w:p>
        </w:tc>
        <w:tc>
          <w:tcPr>
            <w:tcW w:w="669" w:type="pct"/>
            <w:tcBorders>
              <w:top w:val="nil"/>
              <w:left w:val="nil"/>
              <w:bottom w:val="single" w:sz="4" w:space="0" w:color="auto"/>
              <w:right w:val="single" w:sz="4" w:space="0" w:color="auto"/>
            </w:tcBorders>
            <w:shd w:val="clear" w:color="auto" w:fill="auto"/>
            <w:noWrap/>
            <w:vAlign w:val="center"/>
            <w:hideMark/>
          </w:tcPr>
          <w:p w14:paraId="1061922F"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26/12/2022</w:t>
            </w:r>
          </w:p>
        </w:tc>
      </w:tr>
      <w:tr w:rsidR="0093266A" w:rsidRPr="004F34D6" w14:paraId="17C232BF" w14:textId="77777777" w:rsidTr="005E1B82">
        <w:trPr>
          <w:trHeight w:val="840"/>
        </w:trPr>
        <w:tc>
          <w:tcPr>
            <w:tcW w:w="958" w:type="pct"/>
            <w:tcBorders>
              <w:top w:val="single" w:sz="4" w:space="0" w:color="auto"/>
              <w:left w:val="single" w:sz="4" w:space="0" w:color="auto"/>
              <w:bottom w:val="nil"/>
              <w:right w:val="single" w:sz="4" w:space="0" w:color="auto"/>
            </w:tcBorders>
            <w:shd w:val="clear" w:color="auto" w:fill="auto"/>
            <w:vAlign w:val="bottom"/>
            <w:hideMark/>
          </w:tcPr>
          <w:p w14:paraId="34408B60" w14:textId="77777777" w:rsidR="0093266A" w:rsidRPr="004F34D6" w:rsidRDefault="0093266A" w:rsidP="002F4678">
            <w:pPr>
              <w:spacing w:after="0" w:line="240" w:lineRule="auto"/>
              <w:jc w:val="center"/>
              <w:rPr>
                <w:rFonts w:eastAsia="Times New Roman" w:cs="Arial"/>
                <w:b/>
                <w:bCs/>
                <w:i/>
                <w:color w:val="000000"/>
                <w:sz w:val="18"/>
                <w:szCs w:val="20"/>
                <w:lang w:val="en-US"/>
              </w:rPr>
            </w:pPr>
            <w:proofErr w:type="spellStart"/>
            <w:r w:rsidRPr="004F34D6">
              <w:rPr>
                <w:rFonts w:eastAsia="Times New Roman" w:cs="Arial"/>
                <w:b/>
                <w:bCs/>
                <w:i/>
                <w:color w:val="000000"/>
                <w:sz w:val="18"/>
                <w:szCs w:val="20"/>
                <w:lang w:val="en-US"/>
              </w:rPr>
              <w:t>Subcomponente</w:t>
            </w:r>
            <w:proofErr w:type="spellEnd"/>
            <w:r w:rsidRPr="004F34D6">
              <w:rPr>
                <w:rFonts w:eastAsia="Times New Roman" w:cs="Arial"/>
                <w:b/>
                <w:bCs/>
                <w:i/>
                <w:color w:val="000000"/>
                <w:sz w:val="18"/>
                <w:szCs w:val="20"/>
                <w:lang w:val="en-US"/>
              </w:rPr>
              <w:t xml:space="preserve"> 2</w:t>
            </w:r>
          </w:p>
        </w:tc>
        <w:tc>
          <w:tcPr>
            <w:tcW w:w="914" w:type="pct"/>
            <w:tcBorders>
              <w:top w:val="single" w:sz="4" w:space="0" w:color="auto"/>
              <w:left w:val="single" w:sz="4" w:space="0" w:color="auto"/>
              <w:bottom w:val="nil"/>
              <w:right w:val="single" w:sz="4" w:space="0" w:color="auto"/>
            </w:tcBorders>
            <w:shd w:val="clear" w:color="auto" w:fill="auto"/>
            <w:vAlign w:val="center"/>
            <w:hideMark/>
          </w:tcPr>
          <w:p w14:paraId="2B2FBF76"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1. Gestionar un plan de reuniones entre el Director de la entidad y los líderes de las estaciones generando gerenciamiento territorial y diálogos internos</w:t>
            </w:r>
          </w:p>
        </w:tc>
        <w:tc>
          <w:tcPr>
            <w:tcW w:w="903" w:type="pct"/>
            <w:tcBorders>
              <w:top w:val="single" w:sz="4" w:space="0" w:color="000000"/>
              <w:left w:val="nil"/>
              <w:bottom w:val="nil"/>
              <w:right w:val="single" w:sz="4" w:space="0" w:color="000000"/>
            </w:tcBorders>
            <w:shd w:val="clear" w:color="auto" w:fill="auto"/>
            <w:vAlign w:val="center"/>
            <w:hideMark/>
          </w:tcPr>
          <w:p w14:paraId="61D0E6AF"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gramStart"/>
            <w:r>
              <w:rPr>
                <w:rFonts w:eastAsia="Times New Roman" w:cs="Arial"/>
                <w:i/>
                <w:color w:val="000000"/>
                <w:sz w:val="18"/>
                <w:szCs w:val="20"/>
                <w:lang w:val="en-US"/>
              </w:rPr>
              <w:t>5</w:t>
            </w:r>
            <w:proofErr w:type="gram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reuniones</w:t>
            </w:r>
            <w:proofErr w:type="spellEnd"/>
            <w:r w:rsidRPr="004F34D6">
              <w:rPr>
                <w:rFonts w:eastAsia="Times New Roman" w:cs="Arial"/>
                <w:i/>
                <w:color w:val="000000"/>
                <w:sz w:val="18"/>
                <w:szCs w:val="20"/>
                <w:lang w:val="en-US"/>
              </w:rPr>
              <w:t xml:space="preserve"> de grupos </w:t>
            </w:r>
            <w:proofErr w:type="spellStart"/>
            <w:r w:rsidRPr="004F34D6">
              <w:rPr>
                <w:rFonts w:eastAsia="Times New Roman" w:cs="Arial"/>
                <w:i/>
                <w:color w:val="000000"/>
                <w:sz w:val="18"/>
                <w:szCs w:val="20"/>
                <w:lang w:val="en-US"/>
              </w:rPr>
              <w:t>primarios</w:t>
            </w:r>
            <w:proofErr w:type="spellEnd"/>
          </w:p>
        </w:tc>
        <w:tc>
          <w:tcPr>
            <w:tcW w:w="887" w:type="pct"/>
            <w:tcBorders>
              <w:top w:val="nil"/>
              <w:left w:val="nil"/>
              <w:bottom w:val="single" w:sz="4" w:space="0" w:color="auto"/>
              <w:right w:val="single" w:sz="4" w:space="0" w:color="auto"/>
            </w:tcBorders>
            <w:shd w:val="clear" w:color="auto" w:fill="auto"/>
            <w:vAlign w:val="center"/>
            <w:hideMark/>
          </w:tcPr>
          <w:p w14:paraId="262EB918"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697F884F"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1/02/2022</w:t>
            </w:r>
          </w:p>
        </w:tc>
        <w:tc>
          <w:tcPr>
            <w:tcW w:w="669" w:type="pct"/>
            <w:tcBorders>
              <w:top w:val="nil"/>
              <w:left w:val="nil"/>
              <w:bottom w:val="single" w:sz="4" w:space="0" w:color="auto"/>
              <w:right w:val="single" w:sz="4" w:space="0" w:color="auto"/>
            </w:tcBorders>
            <w:shd w:val="clear" w:color="auto" w:fill="auto"/>
            <w:noWrap/>
            <w:vAlign w:val="center"/>
            <w:hideMark/>
          </w:tcPr>
          <w:p w14:paraId="5C9D408C"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16/12/2022</w:t>
            </w:r>
          </w:p>
        </w:tc>
      </w:tr>
      <w:tr w:rsidR="0093266A" w:rsidRPr="004F34D6" w14:paraId="4C994B75" w14:textId="77777777" w:rsidTr="005E1B82">
        <w:trPr>
          <w:trHeight w:val="705"/>
        </w:trPr>
        <w:tc>
          <w:tcPr>
            <w:tcW w:w="958" w:type="pct"/>
            <w:tcBorders>
              <w:top w:val="nil"/>
              <w:left w:val="single" w:sz="4" w:space="0" w:color="auto"/>
              <w:right w:val="single" w:sz="4" w:space="0" w:color="auto"/>
            </w:tcBorders>
            <w:shd w:val="clear" w:color="auto" w:fill="auto"/>
            <w:vAlign w:val="bottom"/>
            <w:hideMark/>
          </w:tcPr>
          <w:p w14:paraId="102194D8" w14:textId="77777777" w:rsidR="0093266A" w:rsidRPr="004F34D6" w:rsidRDefault="0093266A" w:rsidP="002F4678">
            <w:pPr>
              <w:spacing w:after="0" w:line="240" w:lineRule="auto"/>
              <w:jc w:val="center"/>
              <w:rPr>
                <w:rFonts w:eastAsia="Times New Roman" w:cs="Arial"/>
                <w:b/>
                <w:bCs/>
                <w:i/>
                <w:color w:val="000000"/>
                <w:sz w:val="18"/>
                <w:szCs w:val="20"/>
                <w:lang w:val="en-US"/>
              </w:rPr>
            </w:pPr>
            <w:r w:rsidRPr="004F34D6">
              <w:rPr>
                <w:rFonts w:eastAsia="Times New Roman" w:cs="Arial"/>
                <w:b/>
                <w:bCs/>
                <w:i/>
                <w:color w:val="000000"/>
                <w:sz w:val="18"/>
                <w:szCs w:val="20"/>
                <w:lang w:val="en-US"/>
              </w:rPr>
              <w:t> </w:t>
            </w:r>
          </w:p>
        </w:tc>
        <w:tc>
          <w:tcPr>
            <w:tcW w:w="914" w:type="pct"/>
            <w:tcBorders>
              <w:top w:val="single" w:sz="4" w:space="0" w:color="auto"/>
              <w:left w:val="single" w:sz="4" w:space="0" w:color="auto"/>
              <w:bottom w:val="nil"/>
              <w:right w:val="single" w:sz="4" w:space="0" w:color="auto"/>
            </w:tcBorders>
            <w:shd w:val="clear" w:color="auto" w:fill="auto"/>
            <w:vAlign w:val="center"/>
            <w:hideMark/>
          </w:tcPr>
          <w:p w14:paraId="7357D292"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2. A través de canales digitales y reuniones generar cuatro (4) diálogos con servidores</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B361C69"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gramStart"/>
            <w:r>
              <w:rPr>
                <w:rFonts w:eastAsia="Times New Roman" w:cs="Arial"/>
                <w:i/>
                <w:color w:val="000000"/>
                <w:sz w:val="18"/>
                <w:szCs w:val="20"/>
                <w:lang w:val="en-US"/>
              </w:rPr>
              <w:t>6</w:t>
            </w:r>
            <w:proofErr w:type="gram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diálogos</w:t>
            </w:r>
            <w:proofErr w:type="spellEnd"/>
            <w:r w:rsidRPr="004F34D6">
              <w:rPr>
                <w:rFonts w:eastAsia="Times New Roman" w:cs="Arial"/>
                <w:i/>
                <w:color w:val="000000"/>
                <w:sz w:val="18"/>
                <w:szCs w:val="20"/>
                <w:lang w:val="en-US"/>
              </w:rPr>
              <w:t xml:space="preserve"> con </w:t>
            </w:r>
            <w:proofErr w:type="spellStart"/>
            <w:r w:rsidRPr="004F34D6">
              <w:rPr>
                <w:rFonts w:eastAsia="Times New Roman" w:cs="Arial"/>
                <w:i/>
                <w:color w:val="000000"/>
                <w:sz w:val="18"/>
                <w:szCs w:val="20"/>
                <w:lang w:val="en-US"/>
              </w:rPr>
              <w:t>servidores</w:t>
            </w:r>
            <w:proofErr w:type="spellEnd"/>
          </w:p>
        </w:tc>
        <w:tc>
          <w:tcPr>
            <w:tcW w:w="887" w:type="pct"/>
            <w:tcBorders>
              <w:top w:val="nil"/>
              <w:left w:val="nil"/>
              <w:bottom w:val="single" w:sz="4" w:space="0" w:color="auto"/>
              <w:right w:val="single" w:sz="4" w:space="0" w:color="auto"/>
            </w:tcBorders>
            <w:shd w:val="clear" w:color="auto" w:fill="auto"/>
            <w:vAlign w:val="center"/>
            <w:hideMark/>
          </w:tcPr>
          <w:p w14:paraId="35EC94E1"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50184012"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1/02/2022</w:t>
            </w:r>
          </w:p>
        </w:tc>
        <w:tc>
          <w:tcPr>
            <w:tcW w:w="669" w:type="pct"/>
            <w:tcBorders>
              <w:top w:val="nil"/>
              <w:left w:val="nil"/>
              <w:bottom w:val="single" w:sz="4" w:space="0" w:color="auto"/>
              <w:right w:val="single" w:sz="4" w:space="0" w:color="auto"/>
            </w:tcBorders>
            <w:shd w:val="clear" w:color="auto" w:fill="auto"/>
            <w:noWrap/>
            <w:vAlign w:val="center"/>
            <w:hideMark/>
          </w:tcPr>
          <w:p w14:paraId="4D5EE58E"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16/12/2022</w:t>
            </w:r>
          </w:p>
        </w:tc>
      </w:tr>
      <w:tr w:rsidR="0093266A" w:rsidRPr="004F34D6" w14:paraId="364E9548" w14:textId="77777777" w:rsidTr="005E1B82">
        <w:trPr>
          <w:trHeight w:val="1170"/>
        </w:trPr>
        <w:tc>
          <w:tcPr>
            <w:tcW w:w="958" w:type="pct"/>
            <w:tcBorders>
              <w:left w:val="single" w:sz="4" w:space="0" w:color="auto"/>
              <w:bottom w:val="nil"/>
              <w:right w:val="single" w:sz="4" w:space="0" w:color="auto"/>
            </w:tcBorders>
            <w:shd w:val="clear" w:color="auto" w:fill="auto"/>
            <w:vAlign w:val="center"/>
            <w:hideMark/>
          </w:tcPr>
          <w:p w14:paraId="2FF09D4C"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Ejercicios de diálogo con los actores y grupos de interés.</w:t>
            </w:r>
            <w:r w:rsidRPr="004F34D6">
              <w:rPr>
                <w:rFonts w:eastAsia="Times New Roman" w:cs="Arial"/>
                <w:i/>
                <w:color w:val="000000"/>
                <w:sz w:val="18"/>
                <w:szCs w:val="20"/>
              </w:rPr>
              <w:br/>
              <w:t>Diálogo de doble vía con la ciudadanía y sus organizaciones</w:t>
            </w:r>
          </w:p>
        </w:tc>
        <w:tc>
          <w:tcPr>
            <w:tcW w:w="914" w:type="pct"/>
            <w:tcBorders>
              <w:top w:val="single" w:sz="4" w:space="0" w:color="auto"/>
              <w:left w:val="nil"/>
              <w:bottom w:val="nil"/>
              <w:right w:val="single" w:sz="4" w:space="0" w:color="auto"/>
            </w:tcBorders>
            <w:shd w:val="clear" w:color="auto" w:fill="auto"/>
            <w:vAlign w:val="center"/>
            <w:hideMark/>
          </w:tcPr>
          <w:p w14:paraId="3CCF45A0"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3. Realizar ejercicios de aprovechamiento de datos abiertos con la ciudadanía y grupos de interés</w:t>
            </w:r>
          </w:p>
        </w:tc>
        <w:tc>
          <w:tcPr>
            <w:tcW w:w="903" w:type="pct"/>
            <w:tcBorders>
              <w:top w:val="nil"/>
              <w:left w:val="nil"/>
              <w:bottom w:val="single" w:sz="4" w:space="0" w:color="auto"/>
              <w:right w:val="single" w:sz="4" w:space="0" w:color="auto"/>
            </w:tcBorders>
            <w:shd w:val="clear" w:color="auto" w:fill="auto"/>
            <w:vAlign w:val="center"/>
            <w:hideMark/>
          </w:tcPr>
          <w:p w14:paraId="76AEDCDE"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2 ejercicios de aprovechamiento de datos abiertos</w:t>
            </w:r>
          </w:p>
        </w:tc>
        <w:tc>
          <w:tcPr>
            <w:tcW w:w="887" w:type="pct"/>
            <w:tcBorders>
              <w:top w:val="nil"/>
              <w:left w:val="nil"/>
              <w:bottom w:val="single" w:sz="4" w:space="0" w:color="auto"/>
              <w:right w:val="single" w:sz="4" w:space="0" w:color="auto"/>
            </w:tcBorders>
            <w:shd w:val="clear" w:color="auto" w:fill="auto"/>
            <w:vAlign w:val="center"/>
            <w:hideMark/>
          </w:tcPr>
          <w:p w14:paraId="2D5C375F"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Oficina</w:t>
            </w:r>
            <w:proofErr w:type="spell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Asesora</w:t>
            </w:r>
            <w:proofErr w:type="spellEnd"/>
            <w:r w:rsidRPr="004F34D6">
              <w:rPr>
                <w:rFonts w:eastAsia="Times New Roman" w:cs="Arial"/>
                <w:i/>
                <w:color w:val="000000"/>
                <w:sz w:val="18"/>
                <w:szCs w:val="20"/>
                <w:lang w:val="en-US"/>
              </w:rPr>
              <w:t xml:space="preserve"> de </w:t>
            </w:r>
            <w:proofErr w:type="spellStart"/>
            <w:r w:rsidRPr="004F34D6">
              <w:rPr>
                <w:rFonts w:eastAsia="Times New Roman" w:cs="Arial"/>
                <w:i/>
                <w:color w:val="000000"/>
                <w:sz w:val="18"/>
                <w:szCs w:val="20"/>
                <w:lang w:val="en-US"/>
              </w:rPr>
              <w:t>Planeación</w:t>
            </w:r>
            <w:proofErr w:type="spellEnd"/>
          </w:p>
        </w:tc>
        <w:tc>
          <w:tcPr>
            <w:tcW w:w="669" w:type="pct"/>
            <w:tcBorders>
              <w:top w:val="nil"/>
              <w:left w:val="nil"/>
              <w:bottom w:val="single" w:sz="4" w:space="0" w:color="auto"/>
              <w:right w:val="single" w:sz="4" w:space="0" w:color="auto"/>
            </w:tcBorders>
            <w:shd w:val="clear" w:color="auto" w:fill="auto"/>
            <w:noWrap/>
            <w:vAlign w:val="center"/>
            <w:hideMark/>
          </w:tcPr>
          <w:p w14:paraId="45C501C4"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15/02/2022</w:t>
            </w:r>
          </w:p>
        </w:tc>
        <w:tc>
          <w:tcPr>
            <w:tcW w:w="669" w:type="pct"/>
            <w:tcBorders>
              <w:top w:val="nil"/>
              <w:left w:val="nil"/>
              <w:bottom w:val="single" w:sz="4" w:space="0" w:color="auto"/>
              <w:right w:val="single" w:sz="4" w:space="0" w:color="auto"/>
            </w:tcBorders>
            <w:shd w:val="clear" w:color="auto" w:fill="auto"/>
            <w:noWrap/>
            <w:vAlign w:val="center"/>
            <w:hideMark/>
          </w:tcPr>
          <w:p w14:paraId="31E19645"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30/11/2022</w:t>
            </w:r>
          </w:p>
        </w:tc>
      </w:tr>
      <w:tr w:rsidR="0093266A" w:rsidRPr="004F34D6" w14:paraId="4E9AC609" w14:textId="77777777" w:rsidTr="005E1B82">
        <w:trPr>
          <w:trHeight w:val="1005"/>
        </w:trPr>
        <w:tc>
          <w:tcPr>
            <w:tcW w:w="958" w:type="pct"/>
            <w:tcBorders>
              <w:top w:val="nil"/>
              <w:left w:val="single" w:sz="4" w:space="0" w:color="auto"/>
              <w:bottom w:val="nil"/>
              <w:right w:val="nil"/>
            </w:tcBorders>
            <w:shd w:val="clear" w:color="auto" w:fill="auto"/>
            <w:noWrap/>
            <w:vAlign w:val="bottom"/>
            <w:hideMark/>
          </w:tcPr>
          <w:p w14:paraId="7FC1B82E" w14:textId="77777777" w:rsidR="0093266A" w:rsidRPr="004F34D6" w:rsidRDefault="0093266A" w:rsidP="002F4678">
            <w:pPr>
              <w:spacing w:after="0" w:line="240" w:lineRule="auto"/>
              <w:jc w:val="center"/>
              <w:rPr>
                <w:rFonts w:eastAsia="Times New Roman" w:cs="Arial"/>
                <w:i/>
                <w:color w:val="000000"/>
                <w:sz w:val="18"/>
                <w:szCs w:val="20"/>
                <w:lang w:val="en-US"/>
              </w:rPr>
            </w:pPr>
          </w:p>
        </w:tc>
        <w:tc>
          <w:tcPr>
            <w:tcW w:w="914" w:type="pct"/>
            <w:tcBorders>
              <w:top w:val="single" w:sz="4" w:space="0" w:color="auto"/>
              <w:left w:val="single" w:sz="4" w:space="0" w:color="auto"/>
              <w:bottom w:val="nil"/>
              <w:right w:val="single" w:sz="4" w:space="0" w:color="auto"/>
            </w:tcBorders>
            <w:shd w:val="clear" w:color="auto" w:fill="auto"/>
            <w:vAlign w:val="center"/>
            <w:hideMark/>
          </w:tcPr>
          <w:p w14:paraId="45C3B26C"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4. Realizar acciones en redes sociales que propician un diálogo en doble vía con la ciudadanía y los grupos de interés</w:t>
            </w:r>
          </w:p>
        </w:tc>
        <w:tc>
          <w:tcPr>
            <w:tcW w:w="903" w:type="pct"/>
            <w:tcBorders>
              <w:top w:val="nil"/>
              <w:left w:val="nil"/>
              <w:bottom w:val="nil"/>
              <w:right w:val="single" w:sz="4" w:space="0" w:color="000000"/>
            </w:tcBorders>
            <w:shd w:val="clear" w:color="auto" w:fill="auto"/>
            <w:vAlign w:val="center"/>
            <w:hideMark/>
          </w:tcPr>
          <w:p w14:paraId="7FA0C0DB" w14:textId="77777777" w:rsidR="0093266A" w:rsidRPr="004F34D6" w:rsidRDefault="0093266A" w:rsidP="002F4678">
            <w:pPr>
              <w:spacing w:after="0" w:line="240" w:lineRule="auto"/>
              <w:jc w:val="center"/>
              <w:rPr>
                <w:rFonts w:eastAsia="Times New Roman" w:cs="Arial"/>
                <w:i/>
                <w:color w:val="000000"/>
                <w:sz w:val="18"/>
                <w:szCs w:val="20"/>
              </w:rPr>
            </w:pPr>
            <w:r>
              <w:rPr>
                <w:rFonts w:eastAsia="Times New Roman" w:cs="Arial"/>
                <w:i/>
                <w:color w:val="000000"/>
                <w:sz w:val="18"/>
                <w:szCs w:val="20"/>
              </w:rPr>
              <w:t>8</w:t>
            </w:r>
            <w:r w:rsidRPr="004F34D6">
              <w:rPr>
                <w:rFonts w:eastAsia="Times New Roman" w:cs="Arial"/>
                <w:i/>
                <w:color w:val="000000"/>
                <w:sz w:val="18"/>
                <w:szCs w:val="20"/>
              </w:rPr>
              <w:t xml:space="preserve"> ejercicios de diálogo con la ciudadanía y grupos de interés</w:t>
            </w:r>
          </w:p>
        </w:tc>
        <w:tc>
          <w:tcPr>
            <w:tcW w:w="887" w:type="pct"/>
            <w:tcBorders>
              <w:top w:val="nil"/>
              <w:left w:val="nil"/>
              <w:bottom w:val="single" w:sz="4" w:space="0" w:color="auto"/>
              <w:right w:val="single" w:sz="4" w:space="0" w:color="auto"/>
            </w:tcBorders>
            <w:shd w:val="clear" w:color="auto" w:fill="auto"/>
            <w:vAlign w:val="center"/>
            <w:hideMark/>
          </w:tcPr>
          <w:p w14:paraId="551399C7"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Subdirección de gestión de riesgo / Dirección (Comunicaciones y prensa) / Oficina Asesora de Planeación (Cooperación)</w:t>
            </w:r>
          </w:p>
        </w:tc>
        <w:tc>
          <w:tcPr>
            <w:tcW w:w="669" w:type="pct"/>
            <w:tcBorders>
              <w:top w:val="nil"/>
              <w:left w:val="nil"/>
              <w:bottom w:val="single" w:sz="4" w:space="0" w:color="auto"/>
              <w:right w:val="single" w:sz="4" w:space="0" w:color="auto"/>
            </w:tcBorders>
            <w:shd w:val="clear" w:color="auto" w:fill="auto"/>
            <w:noWrap/>
            <w:vAlign w:val="center"/>
            <w:hideMark/>
          </w:tcPr>
          <w:p w14:paraId="6BFF49D2"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1/02/2022</w:t>
            </w:r>
          </w:p>
        </w:tc>
        <w:tc>
          <w:tcPr>
            <w:tcW w:w="669" w:type="pct"/>
            <w:tcBorders>
              <w:top w:val="nil"/>
              <w:left w:val="nil"/>
              <w:bottom w:val="single" w:sz="4" w:space="0" w:color="auto"/>
              <w:right w:val="single" w:sz="4" w:space="0" w:color="auto"/>
            </w:tcBorders>
            <w:shd w:val="clear" w:color="auto" w:fill="auto"/>
            <w:noWrap/>
            <w:vAlign w:val="center"/>
            <w:hideMark/>
          </w:tcPr>
          <w:p w14:paraId="3BBFF806"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26/12/2022</w:t>
            </w:r>
          </w:p>
        </w:tc>
      </w:tr>
      <w:tr w:rsidR="0093266A" w:rsidRPr="004F34D6" w14:paraId="061B5346" w14:textId="77777777" w:rsidTr="005E1B82">
        <w:trPr>
          <w:trHeight w:val="1005"/>
        </w:trPr>
        <w:tc>
          <w:tcPr>
            <w:tcW w:w="958" w:type="pct"/>
            <w:tcBorders>
              <w:top w:val="nil"/>
              <w:left w:val="single" w:sz="4" w:space="0" w:color="auto"/>
              <w:bottom w:val="nil"/>
              <w:right w:val="nil"/>
            </w:tcBorders>
            <w:shd w:val="clear" w:color="auto" w:fill="auto"/>
            <w:noWrap/>
            <w:vAlign w:val="bottom"/>
            <w:hideMark/>
          </w:tcPr>
          <w:p w14:paraId="22AC2887" w14:textId="77777777" w:rsidR="0093266A" w:rsidRPr="004F34D6" w:rsidRDefault="0093266A" w:rsidP="002F4678">
            <w:pPr>
              <w:spacing w:after="0" w:line="240" w:lineRule="auto"/>
              <w:jc w:val="center"/>
              <w:rPr>
                <w:rFonts w:eastAsia="Times New Roman" w:cs="Arial"/>
                <w:i/>
                <w:color w:val="000000"/>
                <w:sz w:val="18"/>
                <w:szCs w:val="20"/>
                <w:lang w:val="en-US"/>
              </w:rPr>
            </w:pPr>
          </w:p>
        </w:tc>
        <w:tc>
          <w:tcPr>
            <w:tcW w:w="914" w:type="pct"/>
            <w:tcBorders>
              <w:top w:val="single" w:sz="4" w:space="0" w:color="auto"/>
              <w:left w:val="single" w:sz="4" w:space="0" w:color="auto"/>
              <w:bottom w:val="nil"/>
              <w:right w:val="single" w:sz="4" w:space="0" w:color="auto"/>
            </w:tcBorders>
            <w:shd w:val="clear" w:color="auto" w:fill="auto"/>
            <w:vAlign w:val="center"/>
            <w:hideMark/>
          </w:tcPr>
          <w:p w14:paraId="419B940A"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5. Diálogos ciudadanos sobre Inspecciones técnicas para la ciudadanía</w:t>
            </w:r>
          </w:p>
        </w:tc>
        <w:tc>
          <w:tcPr>
            <w:tcW w:w="903" w:type="pct"/>
            <w:tcBorders>
              <w:top w:val="single" w:sz="4" w:space="0" w:color="auto"/>
              <w:left w:val="nil"/>
              <w:bottom w:val="single" w:sz="4" w:space="0" w:color="auto"/>
              <w:right w:val="single" w:sz="4" w:space="0" w:color="auto"/>
            </w:tcBorders>
            <w:shd w:val="clear" w:color="auto" w:fill="auto"/>
            <w:vAlign w:val="center"/>
            <w:hideMark/>
          </w:tcPr>
          <w:p w14:paraId="088B2B0A"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 xml:space="preserve">2 diálogos ciudadanos sobre las estrategias en revisiones </w:t>
            </w:r>
            <w:r w:rsidRPr="004F34D6">
              <w:rPr>
                <w:rFonts w:eastAsia="Times New Roman" w:cs="Arial"/>
                <w:i/>
                <w:color w:val="000000"/>
                <w:sz w:val="18"/>
                <w:szCs w:val="20"/>
              </w:rPr>
              <w:lastRenderedPageBreak/>
              <w:t>técnicas para la ciudadanía</w:t>
            </w:r>
          </w:p>
        </w:tc>
        <w:tc>
          <w:tcPr>
            <w:tcW w:w="887" w:type="pct"/>
            <w:tcBorders>
              <w:top w:val="nil"/>
              <w:left w:val="nil"/>
              <w:bottom w:val="single" w:sz="4" w:space="0" w:color="auto"/>
              <w:right w:val="single" w:sz="4" w:space="0" w:color="auto"/>
            </w:tcBorders>
            <w:shd w:val="clear" w:color="auto" w:fill="auto"/>
            <w:vAlign w:val="center"/>
            <w:hideMark/>
          </w:tcPr>
          <w:p w14:paraId="5DFEC538"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lastRenderedPageBreak/>
              <w:t xml:space="preserve">Subdirección de Gestión del Riesgo </w:t>
            </w:r>
          </w:p>
        </w:tc>
        <w:tc>
          <w:tcPr>
            <w:tcW w:w="669" w:type="pct"/>
            <w:tcBorders>
              <w:top w:val="nil"/>
              <w:left w:val="nil"/>
              <w:bottom w:val="single" w:sz="4" w:space="0" w:color="auto"/>
              <w:right w:val="single" w:sz="4" w:space="0" w:color="auto"/>
            </w:tcBorders>
            <w:shd w:val="clear" w:color="auto" w:fill="auto"/>
            <w:noWrap/>
            <w:vAlign w:val="center"/>
            <w:hideMark/>
          </w:tcPr>
          <w:p w14:paraId="11E0E417"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1/04/2022</w:t>
            </w:r>
          </w:p>
        </w:tc>
        <w:tc>
          <w:tcPr>
            <w:tcW w:w="669" w:type="pct"/>
            <w:tcBorders>
              <w:top w:val="nil"/>
              <w:left w:val="nil"/>
              <w:bottom w:val="single" w:sz="4" w:space="0" w:color="auto"/>
              <w:right w:val="single" w:sz="4" w:space="0" w:color="auto"/>
            </w:tcBorders>
            <w:shd w:val="clear" w:color="auto" w:fill="auto"/>
            <w:noWrap/>
            <w:vAlign w:val="center"/>
            <w:hideMark/>
          </w:tcPr>
          <w:p w14:paraId="7B9B0BA9"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30/11/2022</w:t>
            </w:r>
          </w:p>
        </w:tc>
      </w:tr>
      <w:tr w:rsidR="0093266A" w:rsidRPr="004F34D6" w14:paraId="39B83F44" w14:textId="77777777" w:rsidTr="005E1B82">
        <w:trPr>
          <w:trHeight w:val="1020"/>
        </w:trPr>
        <w:tc>
          <w:tcPr>
            <w:tcW w:w="958" w:type="pct"/>
            <w:tcBorders>
              <w:top w:val="nil"/>
              <w:left w:val="single" w:sz="4" w:space="0" w:color="auto"/>
              <w:bottom w:val="single" w:sz="4" w:space="0" w:color="auto"/>
              <w:right w:val="single" w:sz="4" w:space="0" w:color="auto"/>
            </w:tcBorders>
            <w:shd w:val="clear" w:color="auto" w:fill="auto"/>
            <w:vAlign w:val="center"/>
            <w:hideMark/>
          </w:tcPr>
          <w:p w14:paraId="61566817" w14:textId="77777777" w:rsidR="0093266A" w:rsidRPr="004F34D6" w:rsidRDefault="0093266A" w:rsidP="002F4678">
            <w:pPr>
              <w:spacing w:after="0" w:line="240" w:lineRule="auto"/>
              <w:rPr>
                <w:rFonts w:eastAsia="Times New Roman" w:cs="Arial"/>
                <w:b/>
                <w:bCs/>
                <w:i/>
                <w:color w:val="000000"/>
                <w:sz w:val="18"/>
                <w:szCs w:val="20"/>
                <w:lang w:val="en-US"/>
              </w:rPr>
            </w:pPr>
            <w:r w:rsidRPr="004F34D6">
              <w:rPr>
                <w:rFonts w:eastAsia="Times New Roman" w:cs="Arial"/>
                <w:b/>
                <w:bCs/>
                <w:i/>
                <w:color w:val="000000"/>
                <w:sz w:val="18"/>
                <w:szCs w:val="20"/>
                <w:lang w:val="en-US"/>
              </w:rPr>
              <w:t> </w:t>
            </w:r>
          </w:p>
        </w:tc>
        <w:tc>
          <w:tcPr>
            <w:tcW w:w="914" w:type="pct"/>
            <w:tcBorders>
              <w:top w:val="single" w:sz="4" w:space="0" w:color="auto"/>
              <w:left w:val="nil"/>
              <w:bottom w:val="nil"/>
              <w:right w:val="single" w:sz="4" w:space="0" w:color="auto"/>
            </w:tcBorders>
            <w:shd w:val="clear" w:color="auto" w:fill="auto"/>
            <w:vAlign w:val="center"/>
            <w:hideMark/>
          </w:tcPr>
          <w:p w14:paraId="4AE41505"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6. Audiencia pública participativa de rendición de cuentas </w:t>
            </w:r>
          </w:p>
        </w:tc>
        <w:tc>
          <w:tcPr>
            <w:tcW w:w="903" w:type="pct"/>
            <w:tcBorders>
              <w:top w:val="nil"/>
              <w:left w:val="nil"/>
              <w:bottom w:val="single" w:sz="4" w:space="0" w:color="auto"/>
              <w:right w:val="single" w:sz="4" w:space="0" w:color="auto"/>
            </w:tcBorders>
            <w:shd w:val="clear" w:color="auto" w:fill="auto"/>
            <w:vAlign w:val="center"/>
            <w:hideMark/>
          </w:tcPr>
          <w:p w14:paraId="2B07326A"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1 audiencia pública de rendición de cuentas</w:t>
            </w:r>
          </w:p>
        </w:tc>
        <w:tc>
          <w:tcPr>
            <w:tcW w:w="887" w:type="pct"/>
            <w:tcBorders>
              <w:top w:val="nil"/>
              <w:left w:val="nil"/>
              <w:bottom w:val="single" w:sz="4" w:space="0" w:color="auto"/>
              <w:right w:val="single" w:sz="4" w:space="0" w:color="auto"/>
            </w:tcBorders>
            <w:shd w:val="clear" w:color="auto" w:fill="auto"/>
            <w:vAlign w:val="center"/>
            <w:hideMark/>
          </w:tcPr>
          <w:p w14:paraId="4E25DEEE"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Dirección</w:t>
            </w:r>
            <w:r w:rsidRPr="004F34D6">
              <w:rPr>
                <w:rFonts w:eastAsia="Times New Roman" w:cs="Arial"/>
                <w:i/>
                <w:color w:val="000000"/>
                <w:sz w:val="18"/>
                <w:szCs w:val="20"/>
              </w:rPr>
              <w:br/>
              <w:t>Oficina Asesora de Planeación</w:t>
            </w:r>
          </w:p>
        </w:tc>
        <w:tc>
          <w:tcPr>
            <w:tcW w:w="669" w:type="pct"/>
            <w:tcBorders>
              <w:top w:val="nil"/>
              <w:left w:val="nil"/>
              <w:bottom w:val="single" w:sz="4" w:space="0" w:color="auto"/>
              <w:right w:val="single" w:sz="4" w:space="0" w:color="auto"/>
            </w:tcBorders>
            <w:shd w:val="clear" w:color="auto" w:fill="auto"/>
            <w:noWrap/>
            <w:vAlign w:val="center"/>
            <w:hideMark/>
          </w:tcPr>
          <w:p w14:paraId="1DE622CF"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15/02/2022</w:t>
            </w:r>
          </w:p>
        </w:tc>
        <w:tc>
          <w:tcPr>
            <w:tcW w:w="669" w:type="pct"/>
            <w:tcBorders>
              <w:top w:val="nil"/>
              <w:left w:val="nil"/>
              <w:bottom w:val="single" w:sz="4" w:space="0" w:color="auto"/>
              <w:right w:val="single" w:sz="4" w:space="0" w:color="auto"/>
            </w:tcBorders>
            <w:shd w:val="clear" w:color="auto" w:fill="auto"/>
            <w:noWrap/>
            <w:vAlign w:val="center"/>
            <w:hideMark/>
          </w:tcPr>
          <w:p w14:paraId="20D22A94"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28/10/2022</w:t>
            </w:r>
          </w:p>
        </w:tc>
      </w:tr>
      <w:tr w:rsidR="0093266A" w:rsidRPr="004F34D6" w14:paraId="2572AC1A" w14:textId="77777777" w:rsidTr="005E1B82">
        <w:trPr>
          <w:trHeight w:val="1125"/>
        </w:trPr>
        <w:tc>
          <w:tcPr>
            <w:tcW w:w="958" w:type="pct"/>
            <w:tcBorders>
              <w:top w:val="single" w:sz="4" w:space="0" w:color="auto"/>
              <w:left w:val="single" w:sz="4" w:space="0" w:color="auto"/>
              <w:bottom w:val="nil"/>
              <w:right w:val="single" w:sz="4" w:space="0" w:color="auto"/>
            </w:tcBorders>
            <w:shd w:val="clear" w:color="auto" w:fill="auto"/>
            <w:vAlign w:val="bottom"/>
            <w:hideMark/>
          </w:tcPr>
          <w:p w14:paraId="6C5FE2D3" w14:textId="77777777" w:rsidR="0093266A" w:rsidRPr="004F34D6" w:rsidRDefault="0093266A" w:rsidP="002F4678">
            <w:pPr>
              <w:spacing w:after="0" w:line="240" w:lineRule="auto"/>
              <w:jc w:val="center"/>
              <w:rPr>
                <w:rFonts w:eastAsia="Times New Roman" w:cs="Arial"/>
                <w:b/>
                <w:bCs/>
                <w:i/>
                <w:color w:val="000000"/>
                <w:sz w:val="18"/>
                <w:szCs w:val="20"/>
              </w:rPr>
            </w:pPr>
            <w:r w:rsidRPr="004F34D6">
              <w:rPr>
                <w:rFonts w:eastAsia="Times New Roman" w:cs="Arial"/>
                <w:b/>
                <w:bCs/>
                <w:i/>
                <w:color w:val="000000"/>
                <w:sz w:val="18"/>
                <w:szCs w:val="20"/>
              </w:rPr>
              <w:t>Subcomponente 3</w:t>
            </w:r>
            <w:r w:rsidRPr="004F34D6">
              <w:rPr>
                <w:rFonts w:eastAsia="Times New Roman" w:cs="Arial"/>
                <w:b/>
                <w:bCs/>
                <w:i/>
                <w:color w:val="000000"/>
                <w:sz w:val="18"/>
                <w:szCs w:val="20"/>
              </w:rPr>
              <w:br/>
              <w:t>Responsabilizarse en la rendición de cuentas</w:t>
            </w:r>
          </w:p>
        </w:tc>
        <w:tc>
          <w:tcPr>
            <w:tcW w:w="914" w:type="pct"/>
            <w:tcBorders>
              <w:top w:val="single" w:sz="4" w:space="0" w:color="auto"/>
              <w:left w:val="nil"/>
              <w:bottom w:val="nil"/>
              <w:right w:val="single" w:sz="4" w:space="0" w:color="auto"/>
            </w:tcBorders>
            <w:shd w:val="clear" w:color="auto" w:fill="auto"/>
            <w:vAlign w:val="center"/>
            <w:hideMark/>
          </w:tcPr>
          <w:p w14:paraId="358DB1AA"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1. Publicación en la página web de las respuestas a las preguntas formuladas en el marco de los ejercicios de rendición de cuentas </w:t>
            </w:r>
          </w:p>
        </w:tc>
        <w:tc>
          <w:tcPr>
            <w:tcW w:w="903" w:type="pct"/>
            <w:tcBorders>
              <w:top w:val="nil"/>
              <w:left w:val="nil"/>
              <w:bottom w:val="single" w:sz="4" w:space="0" w:color="auto"/>
              <w:right w:val="single" w:sz="4" w:space="0" w:color="auto"/>
            </w:tcBorders>
            <w:shd w:val="clear" w:color="auto" w:fill="auto"/>
            <w:vAlign w:val="center"/>
            <w:hideMark/>
          </w:tcPr>
          <w:p w14:paraId="17E587B9"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 xml:space="preserve">Respuestas efectivas a la ciudadanía sobre </w:t>
            </w:r>
            <w:proofErr w:type="spellStart"/>
            <w:r w:rsidRPr="004F34D6">
              <w:rPr>
                <w:rFonts w:eastAsia="Times New Roman" w:cs="Arial"/>
                <w:i/>
                <w:color w:val="000000"/>
                <w:sz w:val="18"/>
                <w:szCs w:val="20"/>
              </w:rPr>
              <w:t>RdC</w:t>
            </w:r>
            <w:proofErr w:type="spellEnd"/>
          </w:p>
        </w:tc>
        <w:tc>
          <w:tcPr>
            <w:tcW w:w="887" w:type="pct"/>
            <w:tcBorders>
              <w:top w:val="nil"/>
              <w:left w:val="nil"/>
              <w:bottom w:val="single" w:sz="4" w:space="0" w:color="auto"/>
              <w:right w:val="single" w:sz="4" w:space="0" w:color="auto"/>
            </w:tcBorders>
            <w:shd w:val="clear" w:color="auto" w:fill="auto"/>
            <w:vAlign w:val="center"/>
            <w:hideMark/>
          </w:tcPr>
          <w:p w14:paraId="5B948A30"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Dirección - Prensa y Comunicaciones Oficina Asesora de Planeación</w:t>
            </w:r>
          </w:p>
        </w:tc>
        <w:tc>
          <w:tcPr>
            <w:tcW w:w="669" w:type="pct"/>
            <w:tcBorders>
              <w:top w:val="nil"/>
              <w:left w:val="nil"/>
              <w:bottom w:val="single" w:sz="4" w:space="0" w:color="auto"/>
              <w:right w:val="single" w:sz="4" w:space="0" w:color="auto"/>
            </w:tcBorders>
            <w:shd w:val="clear" w:color="auto" w:fill="auto"/>
            <w:noWrap/>
            <w:vAlign w:val="center"/>
            <w:hideMark/>
          </w:tcPr>
          <w:p w14:paraId="6C86464D"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1/02/2022</w:t>
            </w:r>
          </w:p>
        </w:tc>
        <w:tc>
          <w:tcPr>
            <w:tcW w:w="669" w:type="pct"/>
            <w:tcBorders>
              <w:top w:val="nil"/>
              <w:left w:val="nil"/>
              <w:bottom w:val="single" w:sz="4" w:space="0" w:color="auto"/>
              <w:right w:val="single" w:sz="4" w:space="0" w:color="auto"/>
            </w:tcBorders>
            <w:shd w:val="clear" w:color="auto" w:fill="auto"/>
            <w:noWrap/>
            <w:vAlign w:val="center"/>
            <w:hideMark/>
          </w:tcPr>
          <w:p w14:paraId="7643E344"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26/12/2022</w:t>
            </w:r>
          </w:p>
        </w:tc>
      </w:tr>
      <w:tr w:rsidR="0093266A" w:rsidRPr="004F34D6" w14:paraId="50ADFF28" w14:textId="77777777" w:rsidTr="005E1B82">
        <w:trPr>
          <w:trHeight w:val="2025"/>
        </w:trPr>
        <w:tc>
          <w:tcPr>
            <w:tcW w:w="958" w:type="pct"/>
            <w:tcBorders>
              <w:top w:val="nil"/>
              <w:left w:val="single" w:sz="4" w:space="0" w:color="auto"/>
              <w:bottom w:val="nil"/>
              <w:right w:val="single" w:sz="4" w:space="0" w:color="auto"/>
            </w:tcBorders>
            <w:shd w:val="clear" w:color="auto" w:fill="auto"/>
            <w:vAlign w:val="center"/>
            <w:hideMark/>
          </w:tcPr>
          <w:p w14:paraId="3B4139C9"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Responder por los resultados de la gestión definiendo o asumiendo mecanismos de corrección o mejora en sus planes institucionales para atender los compromisos y evaluaciones identificadas en los espacios de diálogo</w:t>
            </w:r>
          </w:p>
        </w:tc>
        <w:tc>
          <w:tcPr>
            <w:tcW w:w="914" w:type="pct"/>
            <w:tcBorders>
              <w:top w:val="single" w:sz="4" w:space="0" w:color="auto"/>
              <w:left w:val="nil"/>
              <w:bottom w:val="nil"/>
              <w:right w:val="single" w:sz="4" w:space="0" w:color="auto"/>
            </w:tcBorders>
            <w:shd w:val="clear" w:color="auto" w:fill="auto"/>
            <w:vAlign w:val="center"/>
            <w:hideMark/>
          </w:tcPr>
          <w:p w14:paraId="5052B3C7"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2. Diseñar y ejecutar una trivia con los ciudadanos y grupos de valor y partes interesadas de conocimientos sobre la entidad, su </w:t>
            </w:r>
            <w:proofErr w:type="spellStart"/>
            <w:r w:rsidRPr="004F34D6">
              <w:rPr>
                <w:rFonts w:eastAsia="Times New Roman" w:cs="Arial"/>
                <w:i/>
                <w:color w:val="000000"/>
                <w:sz w:val="18"/>
                <w:szCs w:val="20"/>
              </w:rPr>
              <w:t>misonalidad</w:t>
            </w:r>
            <w:proofErr w:type="spellEnd"/>
            <w:r w:rsidRPr="004F34D6">
              <w:rPr>
                <w:rFonts w:eastAsia="Times New Roman" w:cs="Arial"/>
                <w:i/>
                <w:color w:val="000000"/>
                <w:sz w:val="18"/>
                <w:szCs w:val="20"/>
              </w:rPr>
              <w:t>, logros y retos</w:t>
            </w:r>
          </w:p>
        </w:tc>
        <w:tc>
          <w:tcPr>
            <w:tcW w:w="903" w:type="pct"/>
            <w:tcBorders>
              <w:top w:val="nil"/>
              <w:left w:val="nil"/>
              <w:bottom w:val="single" w:sz="4" w:space="0" w:color="auto"/>
              <w:right w:val="single" w:sz="4" w:space="0" w:color="auto"/>
            </w:tcBorders>
            <w:shd w:val="clear" w:color="auto" w:fill="auto"/>
            <w:vAlign w:val="center"/>
            <w:hideMark/>
          </w:tcPr>
          <w:p w14:paraId="0FC7B861"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 xml:space="preserve">1 trivia de conocimientos sobre la entidad realizada </w:t>
            </w:r>
          </w:p>
        </w:tc>
        <w:tc>
          <w:tcPr>
            <w:tcW w:w="887" w:type="pct"/>
            <w:tcBorders>
              <w:top w:val="nil"/>
              <w:left w:val="nil"/>
              <w:bottom w:val="single" w:sz="4" w:space="0" w:color="auto"/>
              <w:right w:val="single" w:sz="4" w:space="0" w:color="auto"/>
            </w:tcBorders>
            <w:shd w:val="clear" w:color="auto" w:fill="auto"/>
            <w:vAlign w:val="center"/>
            <w:hideMark/>
          </w:tcPr>
          <w:p w14:paraId="7BF927F8"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Dirección</w:t>
            </w:r>
            <w:proofErr w:type="spellEnd"/>
            <w:r w:rsidRPr="004F34D6">
              <w:rPr>
                <w:rFonts w:eastAsia="Times New Roman" w:cs="Arial"/>
                <w:i/>
                <w:color w:val="000000"/>
                <w:sz w:val="18"/>
                <w:szCs w:val="20"/>
                <w:lang w:val="en-US"/>
              </w:rPr>
              <w:t xml:space="preserve"> (Comunicaciones y </w:t>
            </w:r>
            <w:proofErr w:type="spellStart"/>
            <w:r w:rsidRPr="004F34D6">
              <w:rPr>
                <w:rFonts w:eastAsia="Times New Roman" w:cs="Arial"/>
                <w:i/>
                <w:color w:val="000000"/>
                <w:sz w:val="18"/>
                <w:szCs w:val="20"/>
                <w:lang w:val="en-US"/>
              </w:rPr>
              <w:t>prensa</w:t>
            </w:r>
            <w:proofErr w:type="spellEnd"/>
            <w:r w:rsidRPr="004F34D6">
              <w:rPr>
                <w:rFonts w:eastAsia="Times New Roman" w:cs="Arial"/>
                <w:i/>
                <w:color w:val="000000"/>
                <w:sz w:val="18"/>
                <w:szCs w:val="20"/>
                <w:lang w:val="en-US"/>
              </w:rPr>
              <w:t>)</w:t>
            </w:r>
          </w:p>
        </w:tc>
        <w:tc>
          <w:tcPr>
            <w:tcW w:w="669" w:type="pct"/>
            <w:tcBorders>
              <w:top w:val="nil"/>
              <w:left w:val="nil"/>
              <w:bottom w:val="single" w:sz="4" w:space="0" w:color="auto"/>
              <w:right w:val="single" w:sz="4" w:space="0" w:color="auto"/>
            </w:tcBorders>
            <w:shd w:val="clear" w:color="auto" w:fill="auto"/>
            <w:noWrap/>
            <w:vAlign w:val="center"/>
            <w:hideMark/>
          </w:tcPr>
          <w:p w14:paraId="207F40EB"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1/03/2022</w:t>
            </w:r>
          </w:p>
        </w:tc>
        <w:tc>
          <w:tcPr>
            <w:tcW w:w="669" w:type="pct"/>
            <w:tcBorders>
              <w:top w:val="nil"/>
              <w:left w:val="nil"/>
              <w:bottom w:val="single" w:sz="4" w:space="0" w:color="auto"/>
              <w:right w:val="single" w:sz="4" w:space="0" w:color="auto"/>
            </w:tcBorders>
            <w:shd w:val="clear" w:color="auto" w:fill="auto"/>
            <w:noWrap/>
            <w:vAlign w:val="center"/>
            <w:hideMark/>
          </w:tcPr>
          <w:p w14:paraId="4CEA3988"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30/11/2022</w:t>
            </w:r>
          </w:p>
        </w:tc>
      </w:tr>
      <w:tr w:rsidR="0093266A" w:rsidRPr="004F34D6" w14:paraId="3507BF46" w14:textId="77777777" w:rsidTr="005E1B82">
        <w:trPr>
          <w:trHeight w:val="765"/>
        </w:trPr>
        <w:tc>
          <w:tcPr>
            <w:tcW w:w="958" w:type="pct"/>
            <w:tcBorders>
              <w:top w:val="single" w:sz="4" w:space="0" w:color="auto"/>
              <w:left w:val="single" w:sz="4" w:space="0" w:color="auto"/>
              <w:bottom w:val="nil"/>
              <w:right w:val="single" w:sz="4" w:space="0" w:color="auto"/>
            </w:tcBorders>
            <w:shd w:val="clear" w:color="auto" w:fill="auto"/>
            <w:vAlign w:val="bottom"/>
            <w:hideMark/>
          </w:tcPr>
          <w:p w14:paraId="3E2278D3" w14:textId="77777777" w:rsidR="0093266A" w:rsidRPr="004F34D6" w:rsidRDefault="0093266A" w:rsidP="002F4678">
            <w:pPr>
              <w:spacing w:after="0" w:line="240" w:lineRule="auto"/>
              <w:jc w:val="center"/>
              <w:rPr>
                <w:rFonts w:eastAsia="Times New Roman" w:cs="Arial"/>
                <w:b/>
                <w:bCs/>
                <w:i/>
                <w:color w:val="000000"/>
                <w:sz w:val="18"/>
                <w:szCs w:val="20"/>
                <w:lang w:val="en-US"/>
              </w:rPr>
            </w:pPr>
            <w:proofErr w:type="spellStart"/>
            <w:r w:rsidRPr="004F34D6">
              <w:rPr>
                <w:rFonts w:eastAsia="Times New Roman" w:cs="Arial"/>
                <w:b/>
                <w:bCs/>
                <w:i/>
                <w:color w:val="000000"/>
                <w:sz w:val="18"/>
                <w:szCs w:val="20"/>
                <w:lang w:val="en-US"/>
              </w:rPr>
              <w:t>Subcomponente</w:t>
            </w:r>
            <w:proofErr w:type="spellEnd"/>
            <w:r w:rsidRPr="004F34D6">
              <w:rPr>
                <w:rFonts w:eastAsia="Times New Roman" w:cs="Arial"/>
                <w:b/>
                <w:bCs/>
                <w:i/>
                <w:color w:val="000000"/>
                <w:sz w:val="18"/>
                <w:szCs w:val="20"/>
                <w:lang w:val="en-US"/>
              </w:rPr>
              <w:t xml:space="preserve"> 4</w:t>
            </w:r>
          </w:p>
        </w:tc>
        <w:tc>
          <w:tcPr>
            <w:tcW w:w="914" w:type="pct"/>
            <w:tcBorders>
              <w:top w:val="single" w:sz="4" w:space="0" w:color="auto"/>
              <w:left w:val="nil"/>
              <w:bottom w:val="single" w:sz="4" w:space="0" w:color="auto"/>
              <w:right w:val="single" w:sz="4" w:space="0" w:color="auto"/>
            </w:tcBorders>
            <w:shd w:val="clear" w:color="auto" w:fill="auto"/>
            <w:vAlign w:val="center"/>
            <w:hideMark/>
          </w:tcPr>
          <w:p w14:paraId="4B820195"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1. Realizar monitoreo y acompañamiento trimestral al ejercicio de rendición de cuentas (Segunda línea de defensa)</w:t>
            </w:r>
          </w:p>
        </w:tc>
        <w:tc>
          <w:tcPr>
            <w:tcW w:w="903" w:type="pct"/>
            <w:tcBorders>
              <w:top w:val="nil"/>
              <w:left w:val="nil"/>
              <w:bottom w:val="single" w:sz="4" w:space="0" w:color="auto"/>
              <w:right w:val="single" w:sz="4" w:space="0" w:color="auto"/>
            </w:tcBorders>
            <w:shd w:val="clear" w:color="auto" w:fill="auto"/>
            <w:vAlign w:val="center"/>
            <w:hideMark/>
          </w:tcPr>
          <w:p w14:paraId="55837D2E" w14:textId="77777777" w:rsidR="0093266A" w:rsidRPr="004F34D6" w:rsidRDefault="0093266A" w:rsidP="002F4678">
            <w:pPr>
              <w:spacing w:after="0" w:line="240" w:lineRule="auto"/>
              <w:jc w:val="center"/>
              <w:rPr>
                <w:rFonts w:eastAsia="Times New Roman" w:cs="Arial"/>
                <w:i/>
                <w:color w:val="000000"/>
                <w:sz w:val="18"/>
                <w:szCs w:val="20"/>
              </w:rPr>
            </w:pPr>
            <w:r w:rsidRPr="004F34D6">
              <w:rPr>
                <w:rFonts w:eastAsia="Times New Roman" w:cs="Arial"/>
                <w:i/>
                <w:color w:val="000000"/>
                <w:sz w:val="18"/>
                <w:szCs w:val="20"/>
              </w:rPr>
              <w:t>Mesas de trabajo con los responsables de la estrategia de rendición de cuentas</w:t>
            </w:r>
          </w:p>
        </w:tc>
        <w:tc>
          <w:tcPr>
            <w:tcW w:w="887" w:type="pct"/>
            <w:tcBorders>
              <w:top w:val="nil"/>
              <w:left w:val="nil"/>
              <w:bottom w:val="single" w:sz="4" w:space="0" w:color="auto"/>
              <w:right w:val="single" w:sz="4" w:space="0" w:color="auto"/>
            </w:tcBorders>
            <w:shd w:val="clear" w:color="auto" w:fill="auto"/>
            <w:vAlign w:val="center"/>
            <w:hideMark/>
          </w:tcPr>
          <w:p w14:paraId="30663590"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t>Oficina</w:t>
            </w:r>
            <w:proofErr w:type="spell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Asesora</w:t>
            </w:r>
            <w:proofErr w:type="spellEnd"/>
            <w:r w:rsidRPr="004F34D6">
              <w:rPr>
                <w:rFonts w:eastAsia="Times New Roman" w:cs="Arial"/>
                <w:i/>
                <w:color w:val="000000"/>
                <w:sz w:val="18"/>
                <w:szCs w:val="20"/>
                <w:lang w:val="en-US"/>
              </w:rPr>
              <w:t xml:space="preserve"> de </w:t>
            </w:r>
            <w:proofErr w:type="spellStart"/>
            <w:r w:rsidRPr="004F34D6">
              <w:rPr>
                <w:rFonts w:eastAsia="Times New Roman" w:cs="Arial"/>
                <w:i/>
                <w:color w:val="000000"/>
                <w:sz w:val="18"/>
                <w:szCs w:val="20"/>
                <w:lang w:val="en-US"/>
              </w:rPr>
              <w:t>Planeación</w:t>
            </w:r>
            <w:proofErr w:type="spellEnd"/>
          </w:p>
        </w:tc>
        <w:tc>
          <w:tcPr>
            <w:tcW w:w="669" w:type="pct"/>
            <w:tcBorders>
              <w:top w:val="nil"/>
              <w:left w:val="nil"/>
              <w:bottom w:val="single" w:sz="4" w:space="0" w:color="auto"/>
              <w:right w:val="single" w:sz="4" w:space="0" w:color="auto"/>
            </w:tcBorders>
            <w:shd w:val="clear" w:color="auto" w:fill="auto"/>
            <w:noWrap/>
            <w:vAlign w:val="center"/>
            <w:hideMark/>
          </w:tcPr>
          <w:p w14:paraId="5C21A5B6"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1/03/2022</w:t>
            </w:r>
          </w:p>
        </w:tc>
        <w:tc>
          <w:tcPr>
            <w:tcW w:w="669" w:type="pct"/>
            <w:tcBorders>
              <w:top w:val="nil"/>
              <w:left w:val="nil"/>
              <w:bottom w:val="single" w:sz="4" w:space="0" w:color="auto"/>
              <w:right w:val="single" w:sz="4" w:space="0" w:color="auto"/>
            </w:tcBorders>
            <w:shd w:val="clear" w:color="auto" w:fill="auto"/>
            <w:noWrap/>
            <w:vAlign w:val="center"/>
            <w:hideMark/>
          </w:tcPr>
          <w:p w14:paraId="11DF0D23" w14:textId="77777777" w:rsidR="0093266A" w:rsidRPr="004F34D6" w:rsidRDefault="0093266A" w:rsidP="002F4678">
            <w:pPr>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30/11/2022</w:t>
            </w:r>
          </w:p>
        </w:tc>
      </w:tr>
      <w:tr w:rsidR="0093266A" w:rsidRPr="004F34D6" w14:paraId="174E5ED2" w14:textId="77777777" w:rsidTr="005E1B82">
        <w:trPr>
          <w:trHeight w:val="1530"/>
        </w:trPr>
        <w:tc>
          <w:tcPr>
            <w:tcW w:w="958" w:type="pct"/>
            <w:tcBorders>
              <w:top w:val="nil"/>
              <w:left w:val="single" w:sz="4" w:space="0" w:color="auto"/>
              <w:bottom w:val="single" w:sz="4" w:space="0" w:color="auto"/>
              <w:right w:val="single" w:sz="4" w:space="0" w:color="auto"/>
            </w:tcBorders>
            <w:shd w:val="clear" w:color="auto" w:fill="auto"/>
            <w:vAlign w:val="center"/>
            <w:hideMark/>
          </w:tcPr>
          <w:p w14:paraId="0541A5D1" w14:textId="77777777" w:rsidR="0093266A" w:rsidRPr="004F34D6" w:rsidRDefault="0093266A" w:rsidP="002F4678">
            <w:pPr>
              <w:spacing w:after="0" w:line="240" w:lineRule="auto"/>
              <w:jc w:val="center"/>
              <w:rPr>
                <w:rFonts w:eastAsia="Times New Roman" w:cs="Arial"/>
                <w:b/>
                <w:bCs/>
                <w:i/>
                <w:color w:val="000000"/>
                <w:sz w:val="18"/>
                <w:szCs w:val="20"/>
                <w:lang w:val="en-US"/>
              </w:rPr>
            </w:pPr>
            <w:proofErr w:type="spellStart"/>
            <w:r w:rsidRPr="004F34D6">
              <w:rPr>
                <w:rFonts w:eastAsia="Times New Roman" w:cs="Arial"/>
                <w:b/>
                <w:bCs/>
                <w:i/>
                <w:color w:val="000000"/>
                <w:sz w:val="18"/>
                <w:szCs w:val="20"/>
                <w:lang w:val="en-US"/>
              </w:rPr>
              <w:t>Evaluación</w:t>
            </w:r>
            <w:proofErr w:type="spellEnd"/>
            <w:r w:rsidRPr="004F34D6">
              <w:rPr>
                <w:rFonts w:eastAsia="Times New Roman" w:cs="Arial"/>
                <w:b/>
                <w:bCs/>
                <w:i/>
                <w:color w:val="000000"/>
                <w:sz w:val="18"/>
                <w:szCs w:val="20"/>
                <w:lang w:val="en-US"/>
              </w:rPr>
              <w:t xml:space="preserve"> y retroalimenB21:G28</w:t>
            </w:r>
          </w:p>
        </w:tc>
        <w:tc>
          <w:tcPr>
            <w:tcW w:w="914" w:type="pct"/>
            <w:tcBorders>
              <w:top w:val="nil"/>
              <w:left w:val="nil"/>
              <w:bottom w:val="single" w:sz="4" w:space="0" w:color="auto"/>
              <w:right w:val="single" w:sz="4" w:space="0" w:color="auto"/>
            </w:tcBorders>
            <w:shd w:val="clear" w:color="auto" w:fill="auto"/>
            <w:vAlign w:val="center"/>
            <w:hideMark/>
          </w:tcPr>
          <w:p w14:paraId="4282FE0B" w14:textId="77777777" w:rsidR="0093266A" w:rsidRPr="004F34D6" w:rsidRDefault="0093266A" w:rsidP="002F4678">
            <w:pPr>
              <w:spacing w:after="0" w:line="240" w:lineRule="auto"/>
              <w:rPr>
                <w:rFonts w:eastAsia="Times New Roman" w:cs="Arial"/>
                <w:i/>
                <w:color w:val="000000"/>
                <w:sz w:val="18"/>
                <w:szCs w:val="20"/>
              </w:rPr>
            </w:pPr>
            <w:r w:rsidRPr="004F34D6">
              <w:rPr>
                <w:rFonts w:eastAsia="Times New Roman" w:cs="Arial"/>
                <w:i/>
                <w:color w:val="000000"/>
                <w:sz w:val="18"/>
                <w:szCs w:val="20"/>
              </w:rPr>
              <w:t xml:space="preserve">2. Realizar seguimiento al cumplimiento a los mecanismos de Participación Ciudadana establecidos por la entidad y de </w:t>
            </w:r>
            <w:r w:rsidRPr="004F34D6">
              <w:rPr>
                <w:rFonts w:eastAsia="Times New Roman" w:cs="Arial"/>
                <w:i/>
                <w:color w:val="000000"/>
                <w:sz w:val="18"/>
                <w:szCs w:val="20"/>
              </w:rPr>
              <w:lastRenderedPageBreak/>
              <w:t xml:space="preserve">concordancia con el Decreto 371/2010. </w:t>
            </w:r>
          </w:p>
        </w:tc>
        <w:tc>
          <w:tcPr>
            <w:tcW w:w="903" w:type="pct"/>
            <w:tcBorders>
              <w:top w:val="nil"/>
              <w:left w:val="nil"/>
              <w:bottom w:val="single" w:sz="4" w:space="0" w:color="auto"/>
              <w:right w:val="single" w:sz="4" w:space="0" w:color="auto"/>
            </w:tcBorders>
            <w:shd w:val="clear" w:color="auto" w:fill="auto"/>
            <w:vAlign w:val="center"/>
            <w:hideMark/>
          </w:tcPr>
          <w:p w14:paraId="3658D1E6"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rPr>
              <w:lastRenderedPageBreak/>
              <w:t>Adelantar un (1) seguimiento a los mecanismos de participación y rendición de cuentas a la ciudadanía.</w:t>
            </w:r>
            <w:r w:rsidRPr="004F34D6">
              <w:rPr>
                <w:rFonts w:eastAsia="Times New Roman" w:cs="Arial"/>
                <w:i/>
                <w:color w:val="000000"/>
                <w:sz w:val="18"/>
                <w:szCs w:val="20"/>
              </w:rPr>
              <w:br/>
            </w:r>
            <w:proofErr w:type="spellStart"/>
            <w:r w:rsidRPr="004F34D6">
              <w:rPr>
                <w:rFonts w:eastAsia="Times New Roman" w:cs="Arial"/>
                <w:i/>
                <w:color w:val="000000"/>
                <w:sz w:val="18"/>
                <w:szCs w:val="20"/>
                <w:lang w:val="en-US"/>
              </w:rPr>
              <w:t>Publicación</w:t>
            </w:r>
            <w:proofErr w:type="spellEnd"/>
            <w:r w:rsidRPr="004F34D6">
              <w:rPr>
                <w:rFonts w:eastAsia="Times New Roman" w:cs="Arial"/>
                <w:i/>
                <w:color w:val="000000"/>
                <w:sz w:val="18"/>
                <w:szCs w:val="20"/>
                <w:lang w:val="en-US"/>
              </w:rPr>
              <w:t xml:space="preserve"> </w:t>
            </w:r>
            <w:proofErr w:type="spellStart"/>
            <w:r w:rsidRPr="004F34D6">
              <w:rPr>
                <w:rFonts w:eastAsia="Times New Roman" w:cs="Arial"/>
                <w:i/>
                <w:color w:val="000000"/>
                <w:sz w:val="18"/>
                <w:szCs w:val="20"/>
                <w:lang w:val="en-US"/>
              </w:rPr>
              <w:t>en</w:t>
            </w:r>
            <w:proofErr w:type="spellEnd"/>
            <w:r w:rsidRPr="004F34D6">
              <w:rPr>
                <w:rFonts w:eastAsia="Times New Roman" w:cs="Arial"/>
                <w:i/>
                <w:color w:val="000000"/>
                <w:sz w:val="18"/>
                <w:szCs w:val="20"/>
                <w:lang w:val="en-US"/>
              </w:rPr>
              <w:t xml:space="preserve"> </w:t>
            </w:r>
            <w:r w:rsidRPr="004F34D6">
              <w:rPr>
                <w:rFonts w:eastAsia="Times New Roman" w:cs="Arial"/>
                <w:i/>
                <w:color w:val="000000"/>
                <w:sz w:val="18"/>
                <w:szCs w:val="20"/>
                <w:lang w:val="en-US"/>
              </w:rPr>
              <w:lastRenderedPageBreak/>
              <w:t xml:space="preserve">la </w:t>
            </w:r>
            <w:proofErr w:type="spellStart"/>
            <w:r w:rsidRPr="004F34D6">
              <w:rPr>
                <w:rFonts w:eastAsia="Times New Roman" w:cs="Arial"/>
                <w:i/>
                <w:color w:val="000000"/>
                <w:sz w:val="18"/>
                <w:szCs w:val="20"/>
                <w:lang w:val="en-US"/>
              </w:rPr>
              <w:t>página</w:t>
            </w:r>
            <w:proofErr w:type="spellEnd"/>
            <w:r w:rsidRPr="004F34D6">
              <w:rPr>
                <w:rFonts w:eastAsia="Times New Roman" w:cs="Arial"/>
                <w:i/>
                <w:color w:val="000000"/>
                <w:sz w:val="18"/>
                <w:szCs w:val="20"/>
                <w:lang w:val="en-US"/>
              </w:rPr>
              <w:t xml:space="preserve"> WEB del </w:t>
            </w:r>
            <w:proofErr w:type="spellStart"/>
            <w:r w:rsidRPr="004F34D6">
              <w:rPr>
                <w:rFonts w:eastAsia="Times New Roman" w:cs="Arial"/>
                <w:i/>
                <w:color w:val="000000"/>
                <w:sz w:val="18"/>
                <w:szCs w:val="20"/>
                <w:lang w:val="en-US"/>
              </w:rPr>
              <w:t>informe</w:t>
            </w:r>
            <w:proofErr w:type="spellEnd"/>
            <w:r w:rsidRPr="004F34D6">
              <w:rPr>
                <w:rFonts w:eastAsia="Times New Roman" w:cs="Arial"/>
                <w:i/>
                <w:color w:val="000000"/>
                <w:sz w:val="18"/>
                <w:szCs w:val="20"/>
                <w:lang w:val="en-US"/>
              </w:rPr>
              <w:t>.</w:t>
            </w:r>
          </w:p>
        </w:tc>
        <w:tc>
          <w:tcPr>
            <w:tcW w:w="887" w:type="pct"/>
            <w:tcBorders>
              <w:top w:val="nil"/>
              <w:left w:val="nil"/>
              <w:bottom w:val="single" w:sz="4" w:space="0" w:color="auto"/>
              <w:right w:val="single" w:sz="4" w:space="0" w:color="auto"/>
            </w:tcBorders>
            <w:shd w:val="clear" w:color="auto" w:fill="auto"/>
            <w:vAlign w:val="center"/>
            <w:hideMark/>
          </w:tcPr>
          <w:p w14:paraId="08793F99" w14:textId="77777777" w:rsidR="0093266A" w:rsidRPr="004F34D6" w:rsidRDefault="0093266A" w:rsidP="002F4678">
            <w:pPr>
              <w:spacing w:after="0" w:line="240" w:lineRule="auto"/>
              <w:jc w:val="center"/>
              <w:rPr>
                <w:rFonts w:eastAsia="Times New Roman" w:cs="Arial"/>
                <w:i/>
                <w:color w:val="000000"/>
                <w:sz w:val="18"/>
                <w:szCs w:val="20"/>
                <w:lang w:val="en-US"/>
              </w:rPr>
            </w:pPr>
            <w:proofErr w:type="spellStart"/>
            <w:r w:rsidRPr="004F34D6">
              <w:rPr>
                <w:rFonts w:eastAsia="Times New Roman" w:cs="Arial"/>
                <w:i/>
                <w:color w:val="000000"/>
                <w:sz w:val="18"/>
                <w:szCs w:val="20"/>
                <w:lang w:val="en-US"/>
              </w:rPr>
              <w:lastRenderedPageBreak/>
              <w:t>Oficina</w:t>
            </w:r>
            <w:proofErr w:type="spellEnd"/>
            <w:r w:rsidRPr="004F34D6">
              <w:rPr>
                <w:rFonts w:eastAsia="Times New Roman" w:cs="Arial"/>
                <w:i/>
                <w:color w:val="000000"/>
                <w:sz w:val="18"/>
                <w:szCs w:val="20"/>
                <w:lang w:val="en-US"/>
              </w:rPr>
              <w:t xml:space="preserve"> de Control </w:t>
            </w:r>
            <w:proofErr w:type="spellStart"/>
            <w:r w:rsidRPr="004F34D6">
              <w:rPr>
                <w:rFonts w:eastAsia="Times New Roman" w:cs="Arial"/>
                <w:i/>
                <w:color w:val="000000"/>
                <w:sz w:val="18"/>
                <w:szCs w:val="20"/>
                <w:lang w:val="en-US"/>
              </w:rPr>
              <w:t>Interno</w:t>
            </w:r>
            <w:proofErr w:type="spellEnd"/>
          </w:p>
        </w:tc>
        <w:tc>
          <w:tcPr>
            <w:tcW w:w="669" w:type="pct"/>
            <w:tcBorders>
              <w:top w:val="nil"/>
              <w:left w:val="nil"/>
              <w:bottom w:val="single" w:sz="4" w:space="0" w:color="auto"/>
              <w:right w:val="single" w:sz="4" w:space="0" w:color="auto"/>
            </w:tcBorders>
            <w:shd w:val="clear" w:color="auto" w:fill="auto"/>
            <w:noWrap/>
            <w:vAlign w:val="center"/>
            <w:hideMark/>
          </w:tcPr>
          <w:p w14:paraId="2E89784C" w14:textId="77777777" w:rsidR="0093266A" w:rsidRPr="004F34D6" w:rsidRDefault="0093266A" w:rsidP="002F4678">
            <w:pPr>
              <w:spacing w:after="0" w:line="240" w:lineRule="auto"/>
              <w:jc w:val="center"/>
              <w:rPr>
                <w:rFonts w:eastAsia="Times New Roman" w:cs="Arial"/>
                <w:i/>
                <w:color w:val="000000"/>
                <w:sz w:val="18"/>
                <w:szCs w:val="20"/>
                <w:lang w:val="en-US"/>
              </w:rPr>
            </w:pPr>
            <w:r w:rsidRPr="004F34D6">
              <w:rPr>
                <w:rFonts w:eastAsia="Times New Roman" w:cs="Arial"/>
                <w:i/>
                <w:color w:val="000000"/>
                <w:sz w:val="18"/>
                <w:szCs w:val="20"/>
                <w:lang w:val="en-US"/>
              </w:rPr>
              <w:t>1/05/202</w:t>
            </w:r>
            <w:r>
              <w:rPr>
                <w:rFonts w:eastAsia="Times New Roman" w:cs="Arial"/>
                <w:i/>
                <w:color w:val="000000"/>
                <w:sz w:val="18"/>
                <w:szCs w:val="20"/>
                <w:lang w:val="en-US"/>
              </w:rPr>
              <w:t>2</w:t>
            </w:r>
          </w:p>
        </w:tc>
        <w:tc>
          <w:tcPr>
            <w:tcW w:w="669" w:type="pct"/>
            <w:tcBorders>
              <w:top w:val="nil"/>
              <w:left w:val="nil"/>
              <w:bottom w:val="single" w:sz="4" w:space="0" w:color="auto"/>
              <w:right w:val="single" w:sz="4" w:space="0" w:color="auto"/>
            </w:tcBorders>
            <w:shd w:val="clear" w:color="auto" w:fill="auto"/>
            <w:noWrap/>
            <w:vAlign w:val="center"/>
            <w:hideMark/>
          </w:tcPr>
          <w:p w14:paraId="6AD8B96C" w14:textId="77777777" w:rsidR="0093266A" w:rsidRPr="004F34D6" w:rsidRDefault="0093266A" w:rsidP="005E1B82">
            <w:pPr>
              <w:keepNext/>
              <w:spacing w:after="0" w:line="240" w:lineRule="auto"/>
              <w:jc w:val="center"/>
              <w:rPr>
                <w:rFonts w:eastAsia="Times New Roman" w:cs="Arial"/>
                <w:color w:val="000000"/>
                <w:sz w:val="18"/>
                <w:szCs w:val="20"/>
                <w:lang w:val="en-US"/>
              </w:rPr>
            </w:pPr>
            <w:r w:rsidRPr="004F34D6">
              <w:rPr>
                <w:rFonts w:eastAsia="Times New Roman" w:cs="Arial"/>
                <w:color w:val="000000"/>
                <w:sz w:val="18"/>
                <w:szCs w:val="20"/>
                <w:lang w:val="en-US"/>
              </w:rPr>
              <w:t>3</w:t>
            </w:r>
            <w:r>
              <w:rPr>
                <w:rFonts w:eastAsia="Times New Roman" w:cs="Arial"/>
                <w:color w:val="000000"/>
                <w:sz w:val="18"/>
                <w:szCs w:val="20"/>
                <w:lang w:val="en-US"/>
              </w:rPr>
              <w:t>1/09/2022</w:t>
            </w:r>
          </w:p>
        </w:tc>
      </w:tr>
    </w:tbl>
    <w:p w14:paraId="25A651A5" w14:textId="0730B898" w:rsidR="0093266A" w:rsidRDefault="005E1B82" w:rsidP="005E1B82">
      <w:pPr>
        <w:pStyle w:val="Descripcin"/>
      </w:pPr>
      <w:r>
        <w:t xml:space="preserve">Tabla </w:t>
      </w:r>
      <w:r>
        <w:fldChar w:fldCharType="begin"/>
      </w:r>
      <w:r>
        <w:instrText xml:space="preserve"> SEQ Tabla \* ARABIC </w:instrText>
      </w:r>
      <w:r>
        <w:fldChar w:fldCharType="separate"/>
      </w:r>
      <w:r>
        <w:rPr>
          <w:noProof/>
        </w:rPr>
        <w:t>1</w:t>
      </w:r>
      <w:r>
        <w:fldChar w:fldCharType="end"/>
      </w:r>
      <w:r>
        <w:t xml:space="preserve"> Plan de rendición de cuentas</w:t>
      </w:r>
    </w:p>
    <w:p w14:paraId="52BE1912" w14:textId="77777777" w:rsidR="0093266A" w:rsidRDefault="0093266A" w:rsidP="003D285E">
      <w:pPr>
        <w:jc w:val="both"/>
      </w:pPr>
    </w:p>
    <w:p w14:paraId="5494F8B3" w14:textId="77777777" w:rsidR="003D285E" w:rsidRDefault="003D285E" w:rsidP="003D285E">
      <w:pPr>
        <w:pStyle w:val="Ttulo1"/>
      </w:pPr>
      <w:r w:rsidRPr="003D285E">
        <w:t xml:space="preserve">Implementación y Desarrollo Estrategia </w:t>
      </w:r>
    </w:p>
    <w:p w14:paraId="7215CA69" w14:textId="77777777" w:rsidR="003D285E" w:rsidRDefault="003D285E" w:rsidP="003D285E"/>
    <w:p w14:paraId="490300C0" w14:textId="77777777" w:rsidR="003D285E" w:rsidRDefault="003D285E" w:rsidP="00072A7B">
      <w:pPr>
        <w:pStyle w:val="Ttulo2"/>
      </w:pPr>
      <w:r>
        <w:t xml:space="preserve">Equipo Técnico de rendición de cuentas y participación ciudadana </w:t>
      </w:r>
    </w:p>
    <w:p w14:paraId="1340A117" w14:textId="77777777" w:rsidR="003D285E" w:rsidRPr="003D285E" w:rsidRDefault="003D285E" w:rsidP="003D285E"/>
    <w:p w14:paraId="3170B2F1" w14:textId="0A3BACF4" w:rsidR="003D285E" w:rsidRDefault="003D285E" w:rsidP="00EF0A01">
      <w:pPr>
        <w:jc w:val="both"/>
      </w:pPr>
      <w:r>
        <w:t xml:space="preserve">En la Unidad Administrativa Cuerpo Oficial de Bomberos, la Oficina Asesora de Planeación lidera la política de Participación Ciudadana, en la cual está inmersa la estrategia de Rendición de Cuentas.  </w:t>
      </w:r>
      <w:proofErr w:type="gramStart"/>
      <w:r w:rsidR="005E1B82">
        <w:t>Además</w:t>
      </w:r>
      <w:proofErr w:type="gramEnd"/>
      <w:r w:rsidR="005E1B82">
        <w:t xml:space="preserve"> en el 2021, el Comité Institucional de Gestión y Desempeño formalizó el equipo </w:t>
      </w:r>
      <w:r>
        <w:t>técnico</w:t>
      </w:r>
      <w:r w:rsidR="00FC0D1F">
        <w:t xml:space="preserve"> de rendición de cuentas y participación ciudadana que acompañará la ejecución de las actividades Así mismo</w:t>
      </w:r>
      <w:r>
        <w:t>, la Oficina Asesora de Planeación coordinará la realización de la Audiencia Pública de Ren</w:t>
      </w:r>
      <w:r w:rsidR="00EF0A01">
        <w:t>dición de Cuentas de la entidad</w:t>
      </w:r>
      <w:r w:rsidR="00FC0D1F">
        <w:t xml:space="preserve"> en coordinación con la Dirección, y el equipo de Prensa y Comunicaciones.</w:t>
      </w:r>
      <w:r>
        <w:t xml:space="preserve"> </w:t>
      </w:r>
    </w:p>
    <w:p w14:paraId="4B8D9B3F" w14:textId="77777777" w:rsidR="00EF0A01" w:rsidRDefault="003D285E" w:rsidP="00EF0A01">
      <w:pPr>
        <w:pStyle w:val="Ttulo2"/>
      </w:pPr>
      <w:r w:rsidRPr="00EF0A01">
        <w:t xml:space="preserve">Canales y metodologías para la implementación de la estrategia </w:t>
      </w:r>
    </w:p>
    <w:p w14:paraId="433D2D5B" w14:textId="77777777" w:rsidR="00EF0A01" w:rsidRPr="00EF0A01" w:rsidRDefault="003D285E" w:rsidP="003D285E">
      <w:pPr>
        <w:rPr>
          <w:u w:val="single"/>
        </w:rPr>
      </w:pPr>
      <w:r w:rsidRPr="00EF0A01">
        <w:rPr>
          <w:u w:val="single"/>
        </w:rPr>
        <w:t xml:space="preserve">Medios externos: </w:t>
      </w:r>
    </w:p>
    <w:p w14:paraId="1D01D1EE" w14:textId="77777777" w:rsidR="00EF0A01" w:rsidRDefault="003D285E" w:rsidP="003D285E">
      <w:r>
        <w:sym w:font="Symbol" w:char="F0B7"/>
      </w:r>
      <w:r>
        <w:t xml:space="preserve"> Publicaciones permanentes a través del Portal Web </w:t>
      </w:r>
    </w:p>
    <w:p w14:paraId="69DF5114" w14:textId="77777777" w:rsidR="00EF0A01" w:rsidRDefault="003D285E" w:rsidP="003D285E">
      <w:r>
        <w:sym w:font="Symbol" w:char="F0B7"/>
      </w:r>
      <w:r>
        <w:t xml:space="preserve"> Redes sociales </w:t>
      </w:r>
    </w:p>
    <w:p w14:paraId="37366041" w14:textId="77777777" w:rsidR="00EF0A01" w:rsidRDefault="003D285E" w:rsidP="003D285E">
      <w:r>
        <w:sym w:font="Symbol" w:char="F0B7"/>
      </w:r>
      <w:r>
        <w:t xml:space="preserve"> Presentaciones en PPT y PDF sobre la gestión y resultados </w:t>
      </w:r>
    </w:p>
    <w:p w14:paraId="3C177E59" w14:textId="77777777" w:rsidR="00EF0A01" w:rsidRDefault="003D285E" w:rsidP="003D285E">
      <w:r>
        <w:sym w:font="Symbol" w:char="F0B7"/>
      </w:r>
      <w:r>
        <w:t xml:space="preserve"> Publicaci</w:t>
      </w:r>
      <w:r w:rsidR="00EF0A01">
        <w:t>ón de videos a través del</w:t>
      </w:r>
      <w:r>
        <w:t xml:space="preserve"> canal de YouTube: Cuerpo Oficial Bomberos Bogotá </w:t>
      </w:r>
    </w:p>
    <w:p w14:paraId="6C56E2E9" w14:textId="77777777" w:rsidR="00EF0A01" w:rsidRDefault="003D285E" w:rsidP="003D285E">
      <w:r>
        <w:sym w:font="Symbol" w:char="F0B7"/>
      </w:r>
      <w:r>
        <w:t xml:space="preserve"> Fortalecimiento del canal de respuestas PQRDS y el tiempo de respuestas, entendiendo que la prioridad en estos momentos es la transparencia y el acceso a la información. </w:t>
      </w:r>
    </w:p>
    <w:p w14:paraId="5C4C08E4" w14:textId="77777777" w:rsidR="00EF0A01" w:rsidRDefault="003D285E" w:rsidP="003D285E">
      <w:r w:rsidRPr="00EF0A01">
        <w:rPr>
          <w:u w:val="single"/>
        </w:rPr>
        <w:t>Medios internos:</w:t>
      </w:r>
      <w:r>
        <w:t xml:space="preserve"> </w:t>
      </w:r>
    </w:p>
    <w:p w14:paraId="6BFE0398" w14:textId="77777777" w:rsidR="00EF0A01" w:rsidRDefault="003D285E" w:rsidP="003D285E">
      <w:r>
        <w:sym w:font="Symbol" w:char="F0B7"/>
      </w:r>
      <w:r>
        <w:t xml:space="preserve"> Correo electrónico de Prensa Bomberos </w:t>
      </w:r>
    </w:p>
    <w:p w14:paraId="0ADCC639" w14:textId="77777777" w:rsidR="00EF0A01" w:rsidRDefault="003D285E" w:rsidP="003D285E">
      <w:r>
        <w:lastRenderedPageBreak/>
        <w:sym w:font="Symbol" w:char="F0B7"/>
      </w:r>
      <w:r>
        <w:t xml:space="preserve"> Videoconf</w:t>
      </w:r>
      <w:r w:rsidR="00EF0A01">
        <w:t xml:space="preserve">erencias a través de </w:t>
      </w:r>
      <w:proofErr w:type="spellStart"/>
      <w:r w:rsidR="00EF0A01">
        <w:t>Teams</w:t>
      </w:r>
      <w:proofErr w:type="spellEnd"/>
    </w:p>
    <w:p w14:paraId="52AD30AD" w14:textId="77777777" w:rsidR="00EF0A01" w:rsidRDefault="003D285E" w:rsidP="003D285E">
      <w:r>
        <w:sym w:font="Symbol" w:char="F0B7"/>
      </w:r>
      <w:r w:rsidR="00EF0A01">
        <w:t xml:space="preserve"> P</w:t>
      </w:r>
      <w:r>
        <w:t xml:space="preserve">rotector de Pantalla institucional </w:t>
      </w:r>
    </w:p>
    <w:p w14:paraId="53FCC237" w14:textId="77777777" w:rsidR="00EF0A01" w:rsidRDefault="003D285E" w:rsidP="003D285E">
      <w:r>
        <w:t>En los informes, divulgaciones en interacciones se hará uso de lenguaje claro y piezas visuales que faciliten la comprensión de los grupos de valor y ciudadanía.</w:t>
      </w:r>
    </w:p>
    <w:p w14:paraId="22B39CB0" w14:textId="77777777" w:rsidR="00EF0A01" w:rsidRDefault="003D285E" w:rsidP="00EF0A01">
      <w:pPr>
        <w:pStyle w:val="Ttulo2"/>
      </w:pPr>
      <w:r w:rsidRPr="00EF0A01">
        <w:t xml:space="preserve"> Grupos de Valor</w:t>
      </w:r>
      <w:r>
        <w:t xml:space="preserve"> </w:t>
      </w:r>
      <w:r w:rsidR="00EF0A01">
        <w:t>y Grupos de interés</w:t>
      </w:r>
    </w:p>
    <w:p w14:paraId="5F8EC435" w14:textId="77777777" w:rsidR="00EF0A01" w:rsidRDefault="00EF0A01" w:rsidP="00EF0A01">
      <w:pPr>
        <w:jc w:val="both"/>
      </w:pPr>
    </w:p>
    <w:p w14:paraId="030A0EE8" w14:textId="77777777" w:rsidR="00EF0A01" w:rsidRDefault="003D285E" w:rsidP="00EF0A01">
      <w:pPr>
        <w:jc w:val="both"/>
      </w:pPr>
      <w:r>
        <w:t xml:space="preserve">Se Identificarán las necesidades de los grupos de valor </w:t>
      </w:r>
      <w:r w:rsidR="00EF0A01">
        <w:t xml:space="preserve">y grupos de interés </w:t>
      </w:r>
      <w:r>
        <w:t>en materia de información disponible, así como de los canales de publicación y difus</w:t>
      </w:r>
      <w:r w:rsidR="00EF0A01">
        <w:t>ión existentes y se clasificará</w:t>
      </w:r>
      <w:r>
        <w:t xml:space="preserve"> la información a partir de los siguientes criterios: </w:t>
      </w:r>
    </w:p>
    <w:p w14:paraId="33EA921B" w14:textId="77777777" w:rsidR="00EF0A01" w:rsidRDefault="003D285E" w:rsidP="003D285E">
      <w:r>
        <w:sym w:font="Symbol" w:char="F0B7"/>
      </w:r>
      <w:r w:rsidR="00EF0A01">
        <w:t xml:space="preserve"> L</w:t>
      </w:r>
      <w:r>
        <w:t xml:space="preserve">a gestión realizada </w:t>
      </w:r>
    </w:p>
    <w:p w14:paraId="48F3D5A6" w14:textId="77777777" w:rsidR="00EF0A01" w:rsidRDefault="003D285E" w:rsidP="003D285E">
      <w:r>
        <w:sym w:font="Symbol" w:char="F0B7"/>
      </w:r>
      <w:r w:rsidR="00EF0A01">
        <w:t xml:space="preserve"> L</w:t>
      </w:r>
      <w:r>
        <w:t xml:space="preserve">os resultados de la gestión </w:t>
      </w:r>
    </w:p>
    <w:p w14:paraId="4D5828DB" w14:textId="77777777" w:rsidR="00EF0A01" w:rsidRDefault="003D285E" w:rsidP="00EF0A01">
      <w:r>
        <w:sym w:font="Symbol" w:char="F0B7"/>
      </w:r>
      <w:r w:rsidR="00EF0A01">
        <w:t xml:space="preserve"> E</w:t>
      </w:r>
      <w:r>
        <w:t xml:space="preserve">l avance en la garantía de derechos. </w:t>
      </w:r>
    </w:p>
    <w:p w14:paraId="4A243472" w14:textId="77777777" w:rsidR="00EF0A01" w:rsidRDefault="00EF0A01" w:rsidP="00EF0A01">
      <w:r>
        <w:sym w:font="Symbol" w:char="F0B7"/>
      </w:r>
      <w:r>
        <w:t xml:space="preserve"> La articulación con los objetivos de desarrollo sostenible, ODS</w:t>
      </w:r>
    </w:p>
    <w:p w14:paraId="69FCDFEA" w14:textId="37ED84AC" w:rsidR="00EF0A01" w:rsidRDefault="003D285E" w:rsidP="00EF0A01">
      <w:pPr>
        <w:pStyle w:val="Ttulo2"/>
      </w:pPr>
      <w:r>
        <w:t>E</w:t>
      </w:r>
      <w:r w:rsidR="00EF0A01">
        <w:t xml:space="preserve">valuación y Seguimiento </w:t>
      </w:r>
      <w:proofErr w:type="spellStart"/>
      <w:r w:rsidR="00EF0A01">
        <w:t>RdC</w:t>
      </w:r>
      <w:proofErr w:type="spellEnd"/>
      <w:r w:rsidR="00EF0A01">
        <w:t xml:space="preserve"> 202</w:t>
      </w:r>
      <w:r w:rsidR="00FC0D1F">
        <w:t>2</w:t>
      </w:r>
    </w:p>
    <w:p w14:paraId="2527006E" w14:textId="77777777" w:rsidR="00EF0A01" w:rsidRDefault="00EF0A01" w:rsidP="00EF0A01">
      <w:pPr>
        <w:jc w:val="both"/>
      </w:pPr>
    </w:p>
    <w:p w14:paraId="64484F6E" w14:textId="24511A37" w:rsidR="00EF0A01" w:rsidRPr="009F59FA" w:rsidRDefault="003D285E" w:rsidP="00EF0A01">
      <w:pPr>
        <w:jc w:val="both"/>
        <w:rPr>
          <w:color w:val="0070C0"/>
        </w:rPr>
      </w:pPr>
      <w:r>
        <w:t xml:space="preserve">La Estrategia de Rendición de Cuentas de la UAECOB y el plan de rendición de cuentas incluido en la Matriz PAAC de la entidad pueden ser consultados y monitoreados en el siguiente enlace de la página web institucional: </w:t>
      </w:r>
      <w:hyperlink r:id="rId11" w:history="1">
        <w:r w:rsidR="00FC0D1F" w:rsidRPr="009F59FA">
          <w:rPr>
            <w:rStyle w:val="Hipervnculo"/>
            <w:color w:val="0070C0"/>
          </w:rPr>
          <w:t>UAE CUERPO OFICIAL BOMBEROS DE BOGOTÁ (bomberosbogota.gov.co)</w:t>
        </w:r>
      </w:hyperlink>
    </w:p>
    <w:p w14:paraId="451C1623" w14:textId="630FDC1B" w:rsidR="003D285E" w:rsidRPr="003D285E" w:rsidRDefault="003D285E" w:rsidP="00EF0A01">
      <w:pPr>
        <w:jc w:val="both"/>
      </w:pPr>
      <w:r>
        <w:t xml:space="preserve">La Oficina de Control Interno realiza el seguimiento y verificación de la implementación de las acciones de la Estrategia de Rendición de Cuentas, a través del seguimiento trimestral que efectúa al Plan Anticorrupción y de Atención </w:t>
      </w:r>
      <w:r w:rsidR="00EF0A01">
        <w:t>al Ciudadano de la vigencia 202</w:t>
      </w:r>
      <w:r w:rsidR="00FC0D1F">
        <w:t>2</w:t>
      </w:r>
      <w:r>
        <w:t>, por cuanto esta Estrategia se encuentra integrada al PAAC en el componente 3 “Rendición de Cuentas”</w:t>
      </w:r>
      <w:r w:rsidR="00FC0D1F">
        <w:t>.</w:t>
      </w:r>
      <w:r>
        <w:t xml:space="preserve"> Al finalizar la vigencia, se realizará un informe con el resultado obtenido en cada una de las acciones para su posterior análisis y sustracción de lecciones aprendidas que sirvan para el diseño de la estrategia de la siguiente vigencia.</w:t>
      </w:r>
    </w:p>
    <w:sectPr w:rsidR="003D285E" w:rsidRPr="003D285E" w:rsidSect="0097695C">
      <w:pgSz w:w="12240" w:h="15840"/>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F29CF" w14:textId="77777777" w:rsidR="00C62EAE" w:rsidRDefault="00C62EAE" w:rsidP="003D285E">
      <w:pPr>
        <w:spacing w:after="0" w:line="240" w:lineRule="auto"/>
      </w:pPr>
      <w:r>
        <w:separator/>
      </w:r>
    </w:p>
  </w:endnote>
  <w:endnote w:type="continuationSeparator" w:id="0">
    <w:p w14:paraId="40B7505F" w14:textId="77777777" w:rsidR="00C62EAE" w:rsidRDefault="00C62EAE" w:rsidP="003D28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0D6E4" w14:textId="77777777" w:rsidR="00C62EAE" w:rsidRDefault="00C62EAE" w:rsidP="003D285E">
      <w:pPr>
        <w:spacing w:after="0" w:line="240" w:lineRule="auto"/>
      </w:pPr>
      <w:r>
        <w:separator/>
      </w:r>
    </w:p>
  </w:footnote>
  <w:footnote w:type="continuationSeparator" w:id="0">
    <w:p w14:paraId="7E9E24C0" w14:textId="77777777" w:rsidR="00C62EAE" w:rsidRDefault="00C62EAE" w:rsidP="003D28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2775B"/>
    <w:multiLevelType w:val="multilevel"/>
    <w:tmpl w:val="8EC8F6A2"/>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1BF94852"/>
    <w:multiLevelType w:val="hybridMultilevel"/>
    <w:tmpl w:val="4D644E5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6BD87D0F"/>
    <w:multiLevelType w:val="hybridMultilevel"/>
    <w:tmpl w:val="082CBF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4C0DB5"/>
    <w:multiLevelType w:val="hybridMultilevel"/>
    <w:tmpl w:val="EFE0ECB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16cid:durableId="1365134148">
    <w:abstractNumId w:val="0"/>
  </w:num>
  <w:num w:numId="2" w16cid:durableId="2018799280">
    <w:abstractNumId w:val="0"/>
  </w:num>
  <w:num w:numId="3" w16cid:durableId="1219436865">
    <w:abstractNumId w:val="0"/>
  </w:num>
  <w:num w:numId="4" w16cid:durableId="1340617297">
    <w:abstractNumId w:val="0"/>
  </w:num>
  <w:num w:numId="5" w16cid:durableId="1065371494">
    <w:abstractNumId w:val="0"/>
  </w:num>
  <w:num w:numId="6" w16cid:durableId="1210800523">
    <w:abstractNumId w:val="0"/>
  </w:num>
  <w:num w:numId="7" w16cid:durableId="1310668618">
    <w:abstractNumId w:val="0"/>
  </w:num>
  <w:num w:numId="8" w16cid:durableId="1764763441">
    <w:abstractNumId w:val="0"/>
  </w:num>
  <w:num w:numId="9" w16cid:durableId="1418481015">
    <w:abstractNumId w:val="0"/>
  </w:num>
  <w:num w:numId="10" w16cid:durableId="63841230">
    <w:abstractNumId w:val="0"/>
  </w:num>
  <w:num w:numId="11" w16cid:durableId="1428690601">
    <w:abstractNumId w:val="0"/>
  </w:num>
  <w:num w:numId="12" w16cid:durableId="2034837878">
    <w:abstractNumId w:val="0"/>
  </w:num>
  <w:num w:numId="13" w16cid:durableId="1945840315">
    <w:abstractNumId w:val="0"/>
  </w:num>
  <w:num w:numId="14" w16cid:durableId="2091809524">
    <w:abstractNumId w:val="0"/>
  </w:num>
  <w:num w:numId="15" w16cid:durableId="868831477">
    <w:abstractNumId w:val="0"/>
  </w:num>
  <w:num w:numId="16" w16cid:durableId="1943487614">
    <w:abstractNumId w:val="0"/>
  </w:num>
  <w:num w:numId="17" w16cid:durableId="1733389771">
    <w:abstractNumId w:val="0"/>
  </w:num>
  <w:num w:numId="18" w16cid:durableId="645427881">
    <w:abstractNumId w:val="0"/>
  </w:num>
  <w:num w:numId="19" w16cid:durableId="134225468">
    <w:abstractNumId w:val="0"/>
  </w:num>
  <w:num w:numId="20" w16cid:durableId="843663608">
    <w:abstractNumId w:val="0"/>
  </w:num>
  <w:num w:numId="21" w16cid:durableId="206337986">
    <w:abstractNumId w:val="2"/>
  </w:num>
  <w:num w:numId="22" w16cid:durableId="1228767163">
    <w:abstractNumId w:val="0"/>
  </w:num>
  <w:num w:numId="23" w16cid:durableId="1024596439">
    <w:abstractNumId w:val="1"/>
  </w:num>
  <w:num w:numId="24" w16cid:durableId="1768384357">
    <w:abstractNumId w:val="0"/>
  </w:num>
  <w:num w:numId="25" w16cid:durableId="1673222621">
    <w:abstractNumId w:val="0"/>
  </w:num>
  <w:num w:numId="26" w16cid:durableId="1118451145">
    <w:abstractNumId w:val="0"/>
  </w:num>
  <w:num w:numId="27" w16cid:durableId="1931158649">
    <w:abstractNumId w:val="3"/>
  </w:num>
  <w:num w:numId="28" w16cid:durableId="27348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95C"/>
    <w:rsid w:val="00004A72"/>
    <w:rsid w:val="00107D6F"/>
    <w:rsid w:val="001705D8"/>
    <w:rsid w:val="001B40EF"/>
    <w:rsid w:val="002107FA"/>
    <w:rsid w:val="003137F8"/>
    <w:rsid w:val="0032100F"/>
    <w:rsid w:val="0036607B"/>
    <w:rsid w:val="003A0B48"/>
    <w:rsid w:val="003D285E"/>
    <w:rsid w:val="003E744C"/>
    <w:rsid w:val="00461A29"/>
    <w:rsid w:val="00496B1B"/>
    <w:rsid w:val="004E1394"/>
    <w:rsid w:val="005E1B82"/>
    <w:rsid w:val="006414C6"/>
    <w:rsid w:val="00735FE9"/>
    <w:rsid w:val="00743E62"/>
    <w:rsid w:val="00767585"/>
    <w:rsid w:val="00775AD4"/>
    <w:rsid w:val="007E5CD2"/>
    <w:rsid w:val="00877389"/>
    <w:rsid w:val="0093266A"/>
    <w:rsid w:val="00961FE1"/>
    <w:rsid w:val="00964F17"/>
    <w:rsid w:val="0097695C"/>
    <w:rsid w:val="009F59FA"/>
    <w:rsid w:val="00A17E0A"/>
    <w:rsid w:val="00A55775"/>
    <w:rsid w:val="00A70CBE"/>
    <w:rsid w:val="00BF0288"/>
    <w:rsid w:val="00C43F2D"/>
    <w:rsid w:val="00C62EAE"/>
    <w:rsid w:val="00CA7822"/>
    <w:rsid w:val="00D33B19"/>
    <w:rsid w:val="00D6260B"/>
    <w:rsid w:val="00DA78A8"/>
    <w:rsid w:val="00DB4E96"/>
    <w:rsid w:val="00DD6F14"/>
    <w:rsid w:val="00DF0367"/>
    <w:rsid w:val="00E11D2F"/>
    <w:rsid w:val="00EE522B"/>
    <w:rsid w:val="00EF0A01"/>
    <w:rsid w:val="00F02DDF"/>
    <w:rsid w:val="00F459F0"/>
    <w:rsid w:val="00F52402"/>
    <w:rsid w:val="00FA3632"/>
    <w:rsid w:val="00FC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F0A44"/>
  <w15:chartTrackingRefBased/>
  <w15:docId w15:val="{7F609745-5D6B-4DC0-A39B-768623A6B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95C"/>
    <w:rPr>
      <w:lang w:val="es-CO"/>
    </w:rPr>
  </w:style>
  <w:style w:type="paragraph" w:styleId="Ttulo1">
    <w:name w:val="heading 1"/>
    <w:basedOn w:val="Normal"/>
    <w:next w:val="Normal"/>
    <w:link w:val="Ttulo1Car"/>
    <w:uiPriority w:val="9"/>
    <w:qFormat/>
    <w:rsid w:val="0097695C"/>
    <w:pPr>
      <w:keepNext/>
      <w:keepLines/>
      <w:numPr>
        <w:numId w:val="20"/>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Ttulo2">
    <w:name w:val="heading 2"/>
    <w:basedOn w:val="Normal"/>
    <w:next w:val="Normal"/>
    <w:link w:val="Ttulo2Car"/>
    <w:uiPriority w:val="9"/>
    <w:unhideWhenUsed/>
    <w:qFormat/>
    <w:rsid w:val="0097695C"/>
    <w:pPr>
      <w:keepNext/>
      <w:keepLines/>
      <w:numPr>
        <w:ilvl w:val="1"/>
        <w:numId w:val="20"/>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Ttulo3">
    <w:name w:val="heading 3"/>
    <w:basedOn w:val="Normal"/>
    <w:next w:val="Normal"/>
    <w:link w:val="Ttulo3Car"/>
    <w:uiPriority w:val="9"/>
    <w:semiHidden/>
    <w:unhideWhenUsed/>
    <w:qFormat/>
    <w:rsid w:val="0097695C"/>
    <w:pPr>
      <w:keepNext/>
      <w:keepLines/>
      <w:numPr>
        <w:ilvl w:val="2"/>
        <w:numId w:val="20"/>
      </w:numPr>
      <w:spacing w:before="200" w:after="0"/>
      <w:outlineLvl w:val="2"/>
    </w:pPr>
    <w:rPr>
      <w:rFonts w:asciiTheme="majorHAnsi" w:eastAsiaTheme="majorEastAsia" w:hAnsiTheme="majorHAnsi" w:cstheme="majorBidi"/>
      <w:b/>
      <w:bCs/>
      <w:color w:val="000000" w:themeColor="text1"/>
    </w:rPr>
  </w:style>
  <w:style w:type="paragraph" w:styleId="Ttulo4">
    <w:name w:val="heading 4"/>
    <w:basedOn w:val="Normal"/>
    <w:next w:val="Normal"/>
    <w:link w:val="Ttulo4Car"/>
    <w:uiPriority w:val="9"/>
    <w:semiHidden/>
    <w:unhideWhenUsed/>
    <w:qFormat/>
    <w:rsid w:val="0097695C"/>
    <w:pPr>
      <w:keepNext/>
      <w:keepLines/>
      <w:numPr>
        <w:ilvl w:val="3"/>
        <w:numId w:val="20"/>
      </w:numPr>
      <w:spacing w:before="200" w:after="0"/>
      <w:outlineLvl w:val="3"/>
    </w:pPr>
    <w:rPr>
      <w:rFonts w:asciiTheme="majorHAnsi" w:eastAsiaTheme="majorEastAsia" w:hAnsiTheme="majorHAnsi" w:cstheme="majorBidi"/>
      <w:b/>
      <w:bCs/>
      <w:i/>
      <w:iCs/>
      <w:color w:val="000000" w:themeColor="text1"/>
    </w:rPr>
  </w:style>
  <w:style w:type="paragraph" w:styleId="Ttulo5">
    <w:name w:val="heading 5"/>
    <w:basedOn w:val="Normal"/>
    <w:next w:val="Normal"/>
    <w:link w:val="Ttulo5Car"/>
    <w:uiPriority w:val="9"/>
    <w:semiHidden/>
    <w:unhideWhenUsed/>
    <w:qFormat/>
    <w:rsid w:val="0097695C"/>
    <w:pPr>
      <w:keepNext/>
      <w:keepLines/>
      <w:numPr>
        <w:ilvl w:val="4"/>
        <w:numId w:val="20"/>
      </w:numPr>
      <w:spacing w:before="200" w:after="0"/>
      <w:outlineLvl w:val="4"/>
    </w:pPr>
    <w:rPr>
      <w:rFonts w:asciiTheme="majorHAnsi" w:eastAsiaTheme="majorEastAsia" w:hAnsiTheme="majorHAnsi" w:cstheme="majorBidi"/>
      <w:color w:val="58523E" w:themeColor="text2" w:themeShade="BF"/>
    </w:rPr>
  </w:style>
  <w:style w:type="paragraph" w:styleId="Ttulo6">
    <w:name w:val="heading 6"/>
    <w:basedOn w:val="Normal"/>
    <w:next w:val="Normal"/>
    <w:link w:val="Ttulo6Car"/>
    <w:uiPriority w:val="9"/>
    <w:semiHidden/>
    <w:unhideWhenUsed/>
    <w:qFormat/>
    <w:rsid w:val="0097695C"/>
    <w:pPr>
      <w:keepNext/>
      <w:keepLines/>
      <w:numPr>
        <w:ilvl w:val="5"/>
        <w:numId w:val="20"/>
      </w:numPr>
      <w:spacing w:before="200" w:after="0"/>
      <w:outlineLvl w:val="5"/>
    </w:pPr>
    <w:rPr>
      <w:rFonts w:asciiTheme="majorHAnsi" w:eastAsiaTheme="majorEastAsia" w:hAnsiTheme="majorHAnsi" w:cstheme="majorBidi"/>
      <w:i/>
      <w:iCs/>
      <w:color w:val="58523E" w:themeColor="text2" w:themeShade="BF"/>
    </w:rPr>
  </w:style>
  <w:style w:type="paragraph" w:styleId="Ttulo7">
    <w:name w:val="heading 7"/>
    <w:basedOn w:val="Normal"/>
    <w:next w:val="Normal"/>
    <w:link w:val="Ttulo7Car"/>
    <w:uiPriority w:val="9"/>
    <w:semiHidden/>
    <w:unhideWhenUsed/>
    <w:qFormat/>
    <w:rsid w:val="0097695C"/>
    <w:pPr>
      <w:keepNext/>
      <w:keepLines/>
      <w:numPr>
        <w:ilvl w:val="6"/>
        <w:numId w:val="20"/>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97695C"/>
    <w:pPr>
      <w:keepNext/>
      <w:keepLines/>
      <w:numPr>
        <w:ilvl w:val="7"/>
        <w:numId w:val="20"/>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97695C"/>
    <w:pPr>
      <w:keepNext/>
      <w:keepLines/>
      <w:numPr>
        <w:ilvl w:val="8"/>
        <w:numId w:val="2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97695C"/>
    <w:pPr>
      <w:spacing w:after="0" w:line="240" w:lineRule="auto"/>
    </w:pPr>
  </w:style>
  <w:style w:type="character" w:customStyle="1" w:styleId="SinespaciadoCar">
    <w:name w:val="Sin espaciado Car"/>
    <w:basedOn w:val="Fuentedeprrafopredeter"/>
    <w:link w:val="Sinespaciado"/>
    <w:uiPriority w:val="1"/>
    <w:rsid w:val="0097695C"/>
  </w:style>
  <w:style w:type="character" w:customStyle="1" w:styleId="Ttulo1Car">
    <w:name w:val="Título 1 Car"/>
    <w:basedOn w:val="Fuentedeprrafopredeter"/>
    <w:link w:val="Ttulo1"/>
    <w:uiPriority w:val="9"/>
    <w:rsid w:val="0097695C"/>
    <w:rPr>
      <w:rFonts w:asciiTheme="majorHAnsi" w:eastAsiaTheme="majorEastAsia" w:hAnsiTheme="majorHAnsi" w:cstheme="majorBidi"/>
      <w:b/>
      <w:bCs/>
      <w:smallCaps/>
      <w:color w:val="000000" w:themeColor="text1"/>
      <w:sz w:val="36"/>
      <w:szCs w:val="36"/>
    </w:rPr>
  </w:style>
  <w:style w:type="character" w:customStyle="1" w:styleId="Ttulo2Car">
    <w:name w:val="Título 2 Car"/>
    <w:basedOn w:val="Fuentedeprrafopredeter"/>
    <w:link w:val="Ttulo2"/>
    <w:uiPriority w:val="9"/>
    <w:rsid w:val="0097695C"/>
    <w:rPr>
      <w:rFonts w:asciiTheme="majorHAnsi" w:eastAsiaTheme="majorEastAsia" w:hAnsiTheme="majorHAnsi" w:cstheme="majorBidi"/>
      <w:b/>
      <w:bCs/>
      <w:smallCaps/>
      <w:color w:val="000000" w:themeColor="text1"/>
      <w:sz w:val="28"/>
      <w:szCs w:val="28"/>
    </w:rPr>
  </w:style>
  <w:style w:type="character" w:customStyle="1" w:styleId="Ttulo3Car">
    <w:name w:val="Título 3 Car"/>
    <w:basedOn w:val="Fuentedeprrafopredeter"/>
    <w:link w:val="Ttulo3"/>
    <w:uiPriority w:val="9"/>
    <w:semiHidden/>
    <w:rsid w:val="0097695C"/>
    <w:rPr>
      <w:rFonts w:asciiTheme="majorHAnsi" w:eastAsiaTheme="majorEastAsia" w:hAnsiTheme="majorHAnsi" w:cstheme="majorBidi"/>
      <w:b/>
      <w:bCs/>
      <w:color w:val="000000" w:themeColor="text1"/>
    </w:rPr>
  </w:style>
  <w:style w:type="character" w:customStyle="1" w:styleId="Ttulo4Car">
    <w:name w:val="Título 4 Car"/>
    <w:basedOn w:val="Fuentedeprrafopredeter"/>
    <w:link w:val="Ttulo4"/>
    <w:uiPriority w:val="9"/>
    <w:semiHidden/>
    <w:rsid w:val="0097695C"/>
    <w:rPr>
      <w:rFonts w:asciiTheme="majorHAnsi" w:eastAsiaTheme="majorEastAsia" w:hAnsiTheme="majorHAnsi" w:cstheme="majorBidi"/>
      <w:b/>
      <w:bCs/>
      <w:i/>
      <w:iCs/>
      <w:color w:val="000000" w:themeColor="text1"/>
    </w:rPr>
  </w:style>
  <w:style w:type="character" w:customStyle="1" w:styleId="Ttulo5Car">
    <w:name w:val="Título 5 Car"/>
    <w:basedOn w:val="Fuentedeprrafopredeter"/>
    <w:link w:val="Ttulo5"/>
    <w:uiPriority w:val="9"/>
    <w:semiHidden/>
    <w:rsid w:val="0097695C"/>
    <w:rPr>
      <w:rFonts w:asciiTheme="majorHAnsi" w:eastAsiaTheme="majorEastAsia" w:hAnsiTheme="majorHAnsi" w:cstheme="majorBidi"/>
      <w:color w:val="58523E" w:themeColor="text2" w:themeShade="BF"/>
    </w:rPr>
  </w:style>
  <w:style w:type="character" w:customStyle="1" w:styleId="Ttulo6Car">
    <w:name w:val="Título 6 Car"/>
    <w:basedOn w:val="Fuentedeprrafopredeter"/>
    <w:link w:val="Ttulo6"/>
    <w:uiPriority w:val="9"/>
    <w:semiHidden/>
    <w:rsid w:val="0097695C"/>
    <w:rPr>
      <w:rFonts w:asciiTheme="majorHAnsi" w:eastAsiaTheme="majorEastAsia" w:hAnsiTheme="majorHAnsi" w:cstheme="majorBidi"/>
      <w:i/>
      <w:iCs/>
      <w:color w:val="58523E" w:themeColor="text2" w:themeShade="BF"/>
    </w:rPr>
  </w:style>
  <w:style w:type="character" w:customStyle="1" w:styleId="Ttulo7Car">
    <w:name w:val="Título 7 Car"/>
    <w:basedOn w:val="Fuentedeprrafopredeter"/>
    <w:link w:val="Ttulo7"/>
    <w:uiPriority w:val="9"/>
    <w:semiHidden/>
    <w:rsid w:val="0097695C"/>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97695C"/>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97695C"/>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unhideWhenUsed/>
    <w:qFormat/>
    <w:rsid w:val="0097695C"/>
    <w:pPr>
      <w:spacing w:after="200" w:line="240" w:lineRule="auto"/>
    </w:pPr>
    <w:rPr>
      <w:i/>
      <w:iCs/>
      <w:color w:val="766F54" w:themeColor="text2"/>
      <w:sz w:val="18"/>
      <w:szCs w:val="18"/>
    </w:rPr>
  </w:style>
  <w:style w:type="paragraph" w:styleId="Ttulo">
    <w:name w:val="Title"/>
    <w:basedOn w:val="Normal"/>
    <w:next w:val="Normal"/>
    <w:link w:val="TtuloCar"/>
    <w:uiPriority w:val="10"/>
    <w:qFormat/>
    <w:rsid w:val="0097695C"/>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tuloCar">
    <w:name w:val="Título Car"/>
    <w:basedOn w:val="Fuentedeprrafopredeter"/>
    <w:link w:val="Ttulo"/>
    <w:uiPriority w:val="10"/>
    <w:rsid w:val="0097695C"/>
    <w:rPr>
      <w:rFonts w:asciiTheme="majorHAnsi" w:eastAsiaTheme="majorEastAsia" w:hAnsiTheme="majorHAnsi" w:cstheme="majorBidi"/>
      <w:color w:val="000000" w:themeColor="text1"/>
      <w:sz w:val="56"/>
      <w:szCs w:val="56"/>
    </w:rPr>
  </w:style>
  <w:style w:type="paragraph" w:styleId="Subttulo">
    <w:name w:val="Subtitle"/>
    <w:basedOn w:val="Normal"/>
    <w:next w:val="Normal"/>
    <w:link w:val="SubttuloCar"/>
    <w:uiPriority w:val="11"/>
    <w:qFormat/>
    <w:rsid w:val="0097695C"/>
    <w:pPr>
      <w:numPr>
        <w:ilvl w:val="1"/>
      </w:numPr>
    </w:pPr>
    <w:rPr>
      <w:color w:val="5A5A5A" w:themeColor="text1" w:themeTint="A5"/>
      <w:spacing w:val="10"/>
    </w:rPr>
  </w:style>
  <w:style w:type="character" w:customStyle="1" w:styleId="SubttuloCar">
    <w:name w:val="Subtítulo Car"/>
    <w:basedOn w:val="Fuentedeprrafopredeter"/>
    <w:link w:val="Subttulo"/>
    <w:uiPriority w:val="11"/>
    <w:rsid w:val="0097695C"/>
    <w:rPr>
      <w:color w:val="5A5A5A" w:themeColor="text1" w:themeTint="A5"/>
      <w:spacing w:val="10"/>
    </w:rPr>
  </w:style>
  <w:style w:type="character" w:styleId="Textoennegrita">
    <w:name w:val="Strong"/>
    <w:basedOn w:val="Fuentedeprrafopredeter"/>
    <w:uiPriority w:val="22"/>
    <w:qFormat/>
    <w:rsid w:val="0097695C"/>
    <w:rPr>
      <w:b/>
      <w:bCs/>
      <w:color w:val="000000" w:themeColor="text1"/>
    </w:rPr>
  </w:style>
  <w:style w:type="character" w:styleId="nfasis">
    <w:name w:val="Emphasis"/>
    <w:basedOn w:val="Fuentedeprrafopredeter"/>
    <w:uiPriority w:val="20"/>
    <w:qFormat/>
    <w:rsid w:val="0097695C"/>
    <w:rPr>
      <w:i/>
      <w:iCs/>
      <w:color w:val="auto"/>
    </w:rPr>
  </w:style>
  <w:style w:type="paragraph" w:styleId="Cita">
    <w:name w:val="Quote"/>
    <w:basedOn w:val="Normal"/>
    <w:next w:val="Normal"/>
    <w:link w:val="CitaCar"/>
    <w:uiPriority w:val="29"/>
    <w:qFormat/>
    <w:rsid w:val="0097695C"/>
    <w:pPr>
      <w:spacing w:before="160"/>
      <w:ind w:left="720" w:right="720"/>
    </w:pPr>
    <w:rPr>
      <w:i/>
      <w:iCs/>
      <w:color w:val="000000" w:themeColor="text1"/>
    </w:rPr>
  </w:style>
  <w:style w:type="character" w:customStyle="1" w:styleId="CitaCar">
    <w:name w:val="Cita Car"/>
    <w:basedOn w:val="Fuentedeprrafopredeter"/>
    <w:link w:val="Cita"/>
    <w:uiPriority w:val="29"/>
    <w:rsid w:val="0097695C"/>
    <w:rPr>
      <w:i/>
      <w:iCs/>
      <w:color w:val="000000" w:themeColor="text1"/>
    </w:rPr>
  </w:style>
  <w:style w:type="paragraph" w:styleId="Citadestacada">
    <w:name w:val="Intense Quote"/>
    <w:basedOn w:val="Normal"/>
    <w:next w:val="Normal"/>
    <w:link w:val="CitadestacadaCar"/>
    <w:uiPriority w:val="30"/>
    <w:qFormat/>
    <w:rsid w:val="0097695C"/>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CitadestacadaCar">
    <w:name w:val="Cita destacada Car"/>
    <w:basedOn w:val="Fuentedeprrafopredeter"/>
    <w:link w:val="Citadestacada"/>
    <w:uiPriority w:val="30"/>
    <w:rsid w:val="0097695C"/>
    <w:rPr>
      <w:color w:val="000000" w:themeColor="text1"/>
      <w:shd w:val="clear" w:color="auto" w:fill="F2F2F2" w:themeFill="background1" w:themeFillShade="F2"/>
    </w:rPr>
  </w:style>
  <w:style w:type="character" w:styleId="nfasissutil">
    <w:name w:val="Subtle Emphasis"/>
    <w:basedOn w:val="Fuentedeprrafopredeter"/>
    <w:uiPriority w:val="19"/>
    <w:qFormat/>
    <w:rsid w:val="0097695C"/>
    <w:rPr>
      <w:i/>
      <w:iCs/>
      <w:color w:val="404040" w:themeColor="text1" w:themeTint="BF"/>
    </w:rPr>
  </w:style>
  <w:style w:type="character" w:styleId="nfasisintenso">
    <w:name w:val="Intense Emphasis"/>
    <w:basedOn w:val="Fuentedeprrafopredeter"/>
    <w:uiPriority w:val="21"/>
    <w:qFormat/>
    <w:rsid w:val="0097695C"/>
    <w:rPr>
      <w:b/>
      <w:bCs/>
      <w:i/>
      <w:iCs/>
      <w:caps/>
    </w:rPr>
  </w:style>
  <w:style w:type="character" w:styleId="Referenciasutil">
    <w:name w:val="Subtle Reference"/>
    <w:basedOn w:val="Fuentedeprrafopredeter"/>
    <w:uiPriority w:val="31"/>
    <w:qFormat/>
    <w:rsid w:val="0097695C"/>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97695C"/>
    <w:rPr>
      <w:b/>
      <w:bCs/>
      <w:smallCaps/>
      <w:u w:val="single"/>
    </w:rPr>
  </w:style>
  <w:style w:type="character" w:styleId="Ttulodellibro">
    <w:name w:val="Book Title"/>
    <w:basedOn w:val="Fuentedeprrafopredeter"/>
    <w:uiPriority w:val="33"/>
    <w:qFormat/>
    <w:rsid w:val="0097695C"/>
    <w:rPr>
      <w:b w:val="0"/>
      <w:bCs w:val="0"/>
      <w:smallCaps/>
      <w:spacing w:val="5"/>
    </w:rPr>
  </w:style>
  <w:style w:type="paragraph" w:styleId="TtuloTDC">
    <w:name w:val="TOC Heading"/>
    <w:basedOn w:val="Ttulo1"/>
    <w:next w:val="Normal"/>
    <w:uiPriority w:val="39"/>
    <w:semiHidden/>
    <w:unhideWhenUsed/>
    <w:qFormat/>
    <w:rsid w:val="0097695C"/>
    <w:pPr>
      <w:outlineLvl w:val="9"/>
    </w:pPr>
  </w:style>
  <w:style w:type="paragraph" w:styleId="Textonotapie">
    <w:name w:val="footnote text"/>
    <w:basedOn w:val="Normal"/>
    <w:link w:val="TextonotapieCar"/>
    <w:uiPriority w:val="99"/>
    <w:semiHidden/>
    <w:unhideWhenUsed/>
    <w:rsid w:val="003D285E"/>
    <w:pPr>
      <w:spacing w:after="0" w:line="240" w:lineRule="auto"/>
    </w:pPr>
    <w:rPr>
      <w:rFonts w:ascii="Arial" w:eastAsiaTheme="minorHAnsi" w:hAnsi="Arial"/>
      <w:sz w:val="20"/>
      <w:szCs w:val="20"/>
    </w:rPr>
  </w:style>
  <w:style w:type="character" w:customStyle="1" w:styleId="TextonotapieCar">
    <w:name w:val="Texto nota pie Car"/>
    <w:basedOn w:val="Fuentedeprrafopredeter"/>
    <w:link w:val="Textonotapie"/>
    <w:uiPriority w:val="99"/>
    <w:semiHidden/>
    <w:rsid w:val="003D285E"/>
    <w:rPr>
      <w:rFonts w:ascii="Arial" w:eastAsiaTheme="minorHAnsi" w:hAnsi="Arial"/>
      <w:sz w:val="20"/>
      <w:szCs w:val="20"/>
      <w:lang w:val="es-CO"/>
    </w:rPr>
  </w:style>
  <w:style w:type="character" w:styleId="Refdenotaalpie">
    <w:name w:val="footnote reference"/>
    <w:basedOn w:val="Fuentedeprrafopredeter"/>
    <w:uiPriority w:val="99"/>
    <w:semiHidden/>
    <w:unhideWhenUsed/>
    <w:rsid w:val="003D285E"/>
    <w:rPr>
      <w:vertAlign w:val="superscript"/>
    </w:rPr>
  </w:style>
  <w:style w:type="paragraph" w:styleId="Prrafodelista">
    <w:name w:val="List Paragraph"/>
    <w:basedOn w:val="Normal"/>
    <w:uiPriority w:val="34"/>
    <w:qFormat/>
    <w:rsid w:val="003D285E"/>
    <w:pPr>
      <w:ind w:left="720"/>
      <w:contextualSpacing/>
    </w:pPr>
  </w:style>
  <w:style w:type="character" w:styleId="Hipervnculo">
    <w:name w:val="Hyperlink"/>
    <w:basedOn w:val="Fuentedeprrafopredeter"/>
    <w:uiPriority w:val="99"/>
    <w:unhideWhenUsed/>
    <w:rsid w:val="00EF0A01"/>
    <w:rPr>
      <w:color w:val="FB4A18" w:themeColor="hyperlink"/>
      <w:u w:val="single"/>
    </w:rPr>
  </w:style>
  <w:style w:type="character" w:styleId="Hipervnculovisitado">
    <w:name w:val="FollowedHyperlink"/>
    <w:basedOn w:val="Fuentedeprrafopredeter"/>
    <w:uiPriority w:val="99"/>
    <w:semiHidden/>
    <w:unhideWhenUsed/>
    <w:rsid w:val="00EF0A01"/>
    <w:rPr>
      <w:color w:val="FB931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mberosbogota.gov.co/transparencia/plan-rendicion-cuentas" TargetMode="External"/><Relationship Id="rId5" Type="http://schemas.openxmlformats.org/officeDocument/2006/relationships/webSettings" Target="webSettings.xml"/><Relationship Id="rId10" Type="http://schemas.openxmlformats.org/officeDocument/2006/relationships/hyperlink" Target="https://www.facebook.com/BomberosBogota/videos/761927441171327"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Espiral">
  <a:themeElements>
    <a:clrScheme name="Espiral">
      <a:dk1>
        <a:sysClr val="windowText" lastClr="000000"/>
      </a:dk1>
      <a:lt1>
        <a:sysClr val="window" lastClr="FFFFFF"/>
      </a:lt1>
      <a:dk2>
        <a:srgbClr val="766F54"/>
      </a:dk2>
      <a:lt2>
        <a:srgbClr val="E3EACF"/>
      </a:lt2>
      <a:accent1>
        <a:srgbClr val="A53010"/>
      </a:accent1>
      <a:accent2>
        <a:srgbClr val="DE7E18"/>
      </a:accent2>
      <a:accent3>
        <a:srgbClr val="9F8351"/>
      </a:accent3>
      <a:accent4>
        <a:srgbClr val="728653"/>
      </a:accent4>
      <a:accent5>
        <a:srgbClr val="92AA4C"/>
      </a:accent5>
      <a:accent6>
        <a:srgbClr val="6AAC91"/>
      </a:accent6>
      <a:hlink>
        <a:srgbClr val="FB4A18"/>
      </a:hlink>
      <a:folHlink>
        <a:srgbClr val="FB9318"/>
      </a:folHlink>
    </a:clrScheme>
    <a:fontScheme name="Espiral">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Espiral">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Oficina Asesora de Planeación</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2828</Words>
  <Characters>15559</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Estrategia de rendición de cuentas</vt:lpstr>
    </vt:vector>
  </TitlesOfParts>
  <Company/>
  <LinksUpToDate>false</LinksUpToDate>
  <CharactersWithSpaces>18351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Estrategia de rendición de cuentas</dc:title>
  <dc:subject>2021</dc:subject>
  <dc:creator>Usuario de Windows</dc:creator>
  <cp:keywords/>
  <dc:description/>
  <cp:lastModifiedBy>Iveet Saudy Rojas Paez</cp:lastModifiedBy>
  <cp:revision>5</cp:revision>
  <dcterms:created xsi:type="dcterms:W3CDTF">2022-09-16T14:28:00Z</dcterms:created>
  <dcterms:modified xsi:type="dcterms:W3CDTF">2022-09-16T20:13:00Z</dcterms:modified>
</cp:coreProperties>
</file>